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Обґрунтування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(відповідно до пункту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постанови КМУ від 11.10.2016 № 710 «Про ефективне використання державних коштів» (зі змінами))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Набір для виявлення антитіл до африканської чуми свиней (АЧС) в ІФА. ДК 021:2015 33690000-3 - Лікарські засоби різні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https://prozorro.gov.ua/tender/UA-2022-06-08-004523-a</w:t>
      </w:r>
    </w:p>
    <w:p w:rsidR="00000000" w:rsidDel="00000000" w:rsidP="00000000" w:rsidRDefault="00000000" w:rsidRPr="00000000" w14:paraId="00000007">
      <w:pPr>
        <w:spacing w:after="120" w:before="0" w:line="240" w:lineRule="auto"/>
        <w:jc w:val="center"/>
        <w:rPr>
          <w:rFonts w:ascii="Times New Roman" w:cs="Times New Roman" w:eastAsia="Times New Roman" w:hAnsi="Times New Roman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0.0" w:type="dxa"/>
        <w:jc w:val="left"/>
        <w:tblInd w:w="0.0" w:type="dxa"/>
        <w:tblLayout w:type="fixed"/>
        <w:tblLook w:val="0000"/>
      </w:tblPr>
      <w:tblGrid>
        <w:gridCol w:w="315"/>
        <w:gridCol w:w="2445"/>
        <w:gridCol w:w="7160"/>
        <w:tblGridChange w:id="0">
          <w:tblGrid>
            <w:gridCol w:w="315"/>
            <w:gridCol w:w="2445"/>
            <w:gridCol w:w="71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Обґрунтування технічних та якісних характеристик предмета закупівлі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46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Набір для виявлення антитіл до африканської чуми свиней (АЧС) в ІФА призначений для дослідження сироваток крові свиней на наявність антитіл до африканської чуми свиней методом імуноферментного аналізу.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46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Комплектація: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46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96 лункові планшети – 5 шт.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46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Термін зберігання не менше 12 місяців.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 w:firstLine="463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Температура зберігання: відповідно до інструкції по застосуванню.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right="0" w:firstLine="462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Планом протиепізоотичних заходів з профілактики основних інфекційних і паразитарних хвороб тварин в Україні у 2022 році, передбачена закупівля 4 набори для виявлення антитіл до африканської чуми свиней (АЧС) в ІФА.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Обґрунтування розміру бюджетного призначення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Розмір бюджетного призначення визначено відповідно до бюджетної програми на 2022 рік за КПКВК 1209020 «Протиепізоотичні заходи та участь у Міжнародному епізоотичному бюро» КЕКВ 2220 «Медикаменти та перев’язувальні матеріали»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Очікувана вартість предмета закупівлі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155 300,00 грн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vertAlign w:val="baseline"/>
                <w:rtl w:val="0"/>
              </w:rPr>
              <w:t xml:space="preserve"> з ПДВ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Обґрунтування очікуваної вартості предмета закупівлі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2022 рік, погодженого відповідно до протоколу № 1 від 25.01.2022 рішення Державної надзвичайної протиепізоотичної комісії при Кабінеті Міністрів України, з урахуванням індексу інфляції за 2021 рік та проведення моніторингу цін, шляхом збору та аналізу інформації про ціну товару.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Відповідальні особи за надання роз’яснень потенційним учасникам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Сонько М. П. – начальник управління здоров'я та благополуччя тварин Департаменту безпечності харчових продуктів, ветеринарної медицини та контролю у сфері органічного виробництва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тел. (044) 278-84-71;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Манойленко Т. В. – заступник начальника відділу організації протиепізоотичної роботи управління здоров'я та благополуччя тварин Департаменту безпечності харчових продуктів, ветеринарної медицини та контролю у сфері органічного виробництва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тел. (044) 279-48-15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1"/>
        <w:spacing w:after="200" w:before="0"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283" w:top="567" w:left="1417" w:right="567" w:header="283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Заголовок1">
    <w:name w:val="Заголовок 1"/>
    <w:basedOn w:val="Normal"/>
    <w:next w:val="Основнойтекст"/>
    <w:autoRedefine w:val="0"/>
    <w:hidden w:val="0"/>
    <w:qFormat w:val="0"/>
    <w:pPr>
      <w:widowControl w:val="1"/>
      <w:numPr>
        <w:ilvl w:val="0"/>
        <w:numId w:val="1"/>
      </w:numPr>
      <w:suppressAutoHyphens w:val="0"/>
      <w:kinsoku w:val="1"/>
      <w:overflowPunct w:val="1"/>
      <w:autoSpaceDE w:val="1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kern w:val="2"/>
      <w:position w:val="-1"/>
      <w:sz w:val="48"/>
      <w:szCs w:val="48"/>
      <w:effect w:val="none"/>
      <w:vertAlign w:val="baseline"/>
      <w:cs w:val="0"/>
      <w:em w:val="none"/>
      <w:lang w:bidi="ar-SA" w:eastAsia="zh-CN" w:val="und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b w:val="1"/>
      <w:bCs w:val="1"/>
      <w:w w:val="100"/>
      <w:kern w:val="2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qa_buget">
    <w:name w:val="qa_buget"/>
    <w:basedOn w:val="Основнойшрифтабзаца"/>
    <w:next w:val="qa_buge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qa_code">
    <w:name w:val="qa_code"/>
    <w:basedOn w:val="Основнойшрифтабзаца"/>
    <w:next w:val="qa_cod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h-hidden">
    <w:name w:val="h-hidden"/>
    <w:next w:val="h-hidde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БезинтервалаЗнак">
    <w:name w:val="Без интервала Знак"/>
    <w:next w:val="БезинтервалаЗнак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val="uk-UA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uk-UA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k-UA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Текствыноски">
    <w:name w:val="Текст выноски"/>
    <w:basedOn w:val="Normal"/>
    <w:next w:val="Текствыноски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und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Верхнийколонтитул">
    <w:name w:val="Верхний колонтитул"/>
    <w:basedOn w:val="Normal"/>
    <w:next w:val="Верхнийколонтитул"/>
    <w:autoRedefine w:val="0"/>
    <w:hidden w:val="0"/>
    <w:qFormat w:val="0"/>
    <w:pPr>
      <w:widowControl w:val="1"/>
      <w:tabs>
        <w:tab w:val="center" w:leader="none" w:pos="4677"/>
        <w:tab w:val="right" w:leader="none" w:pos="9355"/>
      </w:tabs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Нижнийколонтитул">
    <w:name w:val="Нижний колонтитул"/>
    <w:basedOn w:val="Normal"/>
    <w:next w:val="Нижнийколонтитул"/>
    <w:autoRedefine w:val="0"/>
    <w:hidden w:val="0"/>
    <w:qFormat w:val="0"/>
    <w:pPr>
      <w:widowControl w:val="1"/>
      <w:tabs>
        <w:tab w:val="center" w:leader="none" w:pos="4677"/>
        <w:tab w:val="right" w:leader="none" w:pos="9355"/>
      </w:tabs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k5r/K/txt5rUoLSZK9TwmH2tqQ==">AMUW2mXEe+K7FJwlqWVPMSpf0vI1OdsWw0olxO8PTbuHUBRbuUKrwsLEXox+msYk22kfsCnC/nOqHSAWCJev1YMFNvgBAWVNMuvtfwBnnIZisfaDZa/0ljY=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2021-03-19T13:14:00Z</dcterms:created>
  <dc:creator>Людмила М. Дяченко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