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4269" w14:textId="77777777" w:rsidR="006F713E" w:rsidRPr="00B64541" w:rsidRDefault="006F713E">
      <w:pPr>
        <w:spacing w:after="0" w:line="240" w:lineRule="auto"/>
        <w:jc w:val="center"/>
        <w:rPr>
          <w:bCs/>
        </w:rPr>
      </w:pPr>
      <w:r w:rsidRPr="00B64541">
        <w:rPr>
          <w:rFonts w:ascii="Times New Roman" w:hAnsi="Times New Roman"/>
          <w:bCs/>
          <w:sz w:val="28"/>
          <w:szCs w:val="28"/>
        </w:rPr>
        <w:t xml:space="preserve">Обґрунтування </w:t>
      </w:r>
    </w:p>
    <w:p w14:paraId="59366C51" w14:textId="77777777" w:rsidR="00C84C8D" w:rsidRPr="00B64541" w:rsidRDefault="006F71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4541">
        <w:rPr>
          <w:rFonts w:ascii="Times New Roman" w:hAnsi="Times New Roman"/>
          <w:bCs/>
          <w:sz w:val="28"/>
          <w:szCs w:val="28"/>
        </w:rPr>
        <w:t xml:space="preserve">технічних та якісних характеристик предмета закупівлі, </w:t>
      </w:r>
    </w:p>
    <w:p w14:paraId="17E645C8" w14:textId="77777777" w:rsidR="00C84C8D" w:rsidRPr="00B64541" w:rsidRDefault="006F713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64541">
        <w:rPr>
          <w:rFonts w:ascii="Times New Roman" w:hAnsi="Times New Roman"/>
          <w:bCs/>
          <w:sz w:val="28"/>
          <w:szCs w:val="28"/>
        </w:rPr>
        <w:t>розміру бюджетного призначення, очікуваної вартості</w:t>
      </w:r>
    </w:p>
    <w:p w14:paraId="780FC1C6" w14:textId="6134919E" w:rsidR="006F713E" w:rsidRPr="00B64541" w:rsidRDefault="006F713E">
      <w:pPr>
        <w:spacing w:after="0" w:line="240" w:lineRule="auto"/>
        <w:jc w:val="center"/>
        <w:rPr>
          <w:bCs/>
        </w:rPr>
      </w:pPr>
      <w:r w:rsidRPr="00B64541">
        <w:rPr>
          <w:rFonts w:ascii="Times New Roman" w:hAnsi="Times New Roman"/>
          <w:bCs/>
          <w:sz w:val="28"/>
          <w:szCs w:val="28"/>
        </w:rPr>
        <w:t xml:space="preserve"> предмета закупівлі</w:t>
      </w:r>
    </w:p>
    <w:p w14:paraId="0F89CB02" w14:textId="77777777" w:rsidR="006F713E" w:rsidRPr="00F37659" w:rsidRDefault="006F713E">
      <w:pPr>
        <w:spacing w:after="120" w:line="240" w:lineRule="auto"/>
        <w:contextualSpacing/>
        <w:jc w:val="center"/>
        <w:rPr>
          <w:sz w:val="24"/>
          <w:szCs w:val="24"/>
        </w:rPr>
      </w:pPr>
      <w:r w:rsidRPr="00B64541">
        <w:rPr>
          <w:rFonts w:ascii="Times New Roman" w:hAnsi="Times New Roman"/>
          <w:sz w:val="24"/>
          <w:szCs w:val="24"/>
        </w:rPr>
        <w:t>(відповідно до пункту 4</w:t>
      </w:r>
      <w:r w:rsidRPr="00B6454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B64541">
        <w:rPr>
          <w:rFonts w:ascii="Times New Roman" w:hAnsi="Times New Roman"/>
          <w:sz w:val="24"/>
          <w:szCs w:val="24"/>
        </w:rPr>
        <w:t xml:space="preserve">постанови КМУ від 11.10.2016 № 710 «Про ефективне використання </w:t>
      </w:r>
      <w:r w:rsidRPr="00F37659">
        <w:rPr>
          <w:rFonts w:ascii="Times New Roman" w:hAnsi="Times New Roman"/>
          <w:sz w:val="24"/>
          <w:szCs w:val="24"/>
        </w:rPr>
        <w:t>державних коштів» (зі змінами))</w:t>
      </w:r>
    </w:p>
    <w:p w14:paraId="343DCBCB" w14:textId="6F86CD30" w:rsidR="006F713E" w:rsidRPr="00F37659" w:rsidRDefault="00F37659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7" w:history="1">
        <w:r w:rsidRPr="00F37659">
          <w:rPr>
            <w:rStyle w:val="af3"/>
            <w:rFonts w:ascii="Times New Roman" w:hAnsi="Times New Roman"/>
            <w:color w:val="auto"/>
            <w:sz w:val="26"/>
            <w:szCs w:val="26"/>
            <w:u w:val="none"/>
          </w:rPr>
          <w:t>Вакцина антирабічна для пероральної імунізації м’ясоїдних тварин проти сказу. (Закуповується у рамках реалізації грантового проекту 10119559 – UA_VETPROG_2025-2027 «Підвищення спроможності України здійснювати активний та пасивний нагляд за пташиним грипом, африканською чумою свиней та проведення кампаній з імунізації тварин проти сказу»). ДК 021:2015 33650000-1 - Загальні протиінфекційні засоби для системного застосування, вакцини, антинеопластичні засоби та імуномодулятори.</w:t>
        </w:r>
      </w:hyperlink>
    </w:p>
    <w:p w14:paraId="02DCA1BB" w14:textId="709B2643" w:rsidR="00F37659" w:rsidRPr="00F37659" w:rsidRDefault="00F37659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8" w:history="1">
        <w:r w:rsidRPr="00F37659">
          <w:rPr>
            <w:rStyle w:val="af3"/>
            <w:rFonts w:ascii="Times New Roman" w:hAnsi="Times New Roman"/>
            <w:sz w:val="26"/>
            <w:szCs w:val="26"/>
          </w:rPr>
          <w:t>https://prozorro.gov.ua/uk/tender/UA-2026-03-18-001432-a</w:t>
        </w:r>
      </w:hyperlink>
      <w:r w:rsidRPr="00F37659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50"/>
        <w:gridCol w:w="2655"/>
        <w:gridCol w:w="6586"/>
      </w:tblGrid>
      <w:tr w:rsidR="006F713E" w14:paraId="53077C32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E9D6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A8E55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39AE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Вакцина призначена для профілактичної вакцинації м’ясоїдних тварин проти сказу.</w:t>
            </w:r>
          </w:p>
          <w:p w14:paraId="58B8AA24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доза – поживна принада в яку поміщений полімерний блістер з антигеном, що формує імунітет протягом 30 днів тривалістю не менше 1 року.</w:t>
            </w:r>
          </w:p>
          <w:p w14:paraId="3F64106D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Поживна принада повинна містити біологічний маркер (антибіотик тетрациклінового ряду).</w:t>
            </w:r>
          </w:p>
          <w:p w14:paraId="7CD70E45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Нешкідлива при введенні 10-кратної дози.</w:t>
            </w:r>
          </w:p>
          <w:p w14:paraId="614B63C0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Термін придатності препарату – не менше 12 місяців </w:t>
            </w:r>
          </w:p>
          <w:p w14:paraId="1445C0F0" w14:textId="1ADE035B" w:rsidR="006F713E" w:rsidRPr="00F37659" w:rsidRDefault="001915BB" w:rsidP="00F37659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відповідно до інструкції по застосуванню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F713E" w14:paraId="318036FE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46F2A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998C4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6705F" w14:textId="77777777" w:rsidR="0066310C" w:rsidRDefault="006F713E" w:rsidP="001915BB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до </w:t>
            </w:r>
          </w:p>
          <w:p w14:paraId="0493B480" w14:textId="03497BD0" w:rsidR="0066310C" w:rsidRPr="00F37659" w:rsidRDefault="0066310C" w:rsidP="006631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фінансування, передбаченого грантовою угодою між Європейським виконавчим агентством з питань охорони здоров’я та цифрових технологій делегованого Європейською Комісією та Державною службою України з питань безпечності харчових продуктів та захисту споживачів Проект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101195559 – </w:t>
            </w:r>
            <w:r w:rsidRPr="0066310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971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66310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VETPROG</w:t>
            </w:r>
            <w:r w:rsidRPr="00971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_2025-2027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(далі – Угода)</w:t>
            </w:r>
          </w:p>
        </w:tc>
      </w:tr>
      <w:tr w:rsidR="006F713E" w14:paraId="24CCC401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A735C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85607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40EE" w14:textId="464ED658" w:rsidR="006F713E" w:rsidRDefault="008B4FB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42 377 270</w:t>
            </w:r>
            <w:r w:rsidR="005C7F01" w:rsidRPr="005C7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5C7F01" w:rsidRPr="005C7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C7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грн </w:t>
            </w:r>
            <w:r w:rsidR="001915BB"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ПДВ</w:t>
            </w:r>
          </w:p>
        </w:tc>
      </w:tr>
      <w:tr w:rsidR="006F713E" w14:paraId="5C182F15" w14:textId="77777777" w:rsidTr="0081756B">
        <w:trPr>
          <w:trHeight w:val="22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1029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E0DEC5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F84B" w14:textId="43C4C18B" w:rsidR="006F713E" w:rsidRDefault="006F713E" w:rsidP="006D1E28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BD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D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BD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рішення Державної надзвичайної протиепізоотичної комісії при Кабінеті Міністрів України, проведення моніторингу цін, шляхом збору та аналізу інформації про ціну товару</w:t>
            </w:r>
            <w:r w:rsidR="00F95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534D" w:rsidRPr="00F95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 застосовування методу розрахунку очікуваної вартості на підставі закупівельних цін минулих закупівель</w:t>
            </w:r>
            <w:r w:rsid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урахуванням </w:t>
            </w:r>
            <w:r w:rsidR="000A3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грантової у</w:t>
            </w:r>
            <w:r w:rsid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годи</w:t>
            </w:r>
            <w:r w:rsidR="002123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F713E" w14:paraId="08C499AA" w14:textId="77777777" w:rsidTr="00973930">
        <w:trPr>
          <w:trHeight w:val="117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330AA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EC327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5707" w14:textId="77777777" w:rsidR="006F713E" w:rsidRDefault="004334F6" w:rsidP="00BD769A">
            <w:pPr>
              <w:shd w:val="clear" w:color="auto" w:fill="FFFFFF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І. М.</w:t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директор Департаменту безпечності харчових продуктів та ветеринарної медицини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 </w:t>
            </w:r>
            <w:r w:rsidR="007336EE" w:rsidRPr="00733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(044) 278-44-67</w:t>
            </w:r>
          </w:p>
        </w:tc>
      </w:tr>
    </w:tbl>
    <w:p w14:paraId="7947B45E" w14:textId="77777777" w:rsidR="001B01B9" w:rsidRDefault="001B01B9" w:rsidP="00801CEE">
      <w:pPr>
        <w:spacing w:after="0" w:line="240" w:lineRule="auto"/>
        <w:jc w:val="center"/>
      </w:pPr>
    </w:p>
    <w:p w14:paraId="4EDF8165" w14:textId="77777777" w:rsidR="006F713E" w:rsidRDefault="00801CEE" w:rsidP="00801CEE">
      <w:pPr>
        <w:spacing w:after="0" w:line="240" w:lineRule="auto"/>
        <w:jc w:val="center"/>
      </w:pPr>
      <w:r>
        <w:t>___________________________________________</w:t>
      </w:r>
    </w:p>
    <w:sectPr w:rsidR="006F713E" w:rsidSect="00C84C8D">
      <w:headerReference w:type="default" r:id="rId9"/>
      <w:pgSz w:w="11906" w:h="16838"/>
      <w:pgMar w:top="284" w:right="567" w:bottom="709" w:left="1701" w:header="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0CDC" w14:textId="77777777" w:rsidR="004068A4" w:rsidRDefault="004068A4">
      <w:pPr>
        <w:spacing w:after="0" w:line="240" w:lineRule="auto"/>
      </w:pPr>
      <w:r>
        <w:separator/>
      </w:r>
    </w:p>
  </w:endnote>
  <w:endnote w:type="continuationSeparator" w:id="0">
    <w:p w14:paraId="1FBD3823" w14:textId="77777777" w:rsidR="004068A4" w:rsidRDefault="0040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3EF7" w14:textId="77777777" w:rsidR="004068A4" w:rsidRDefault="004068A4">
      <w:pPr>
        <w:spacing w:after="0" w:line="240" w:lineRule="auto"/>
      </w:pPr>
      <w:r>
        <w:separator/>
      </w:r>
    </w:p>
  </w:footnote>
  <w:footnote w:type="continuationSeparator" w:id="0">
    <w:p w14:paraId="32C11FE2" w14:textId="77777777" w:rsidR="004068A4" w:rsidRDefault="0040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228B" w14:textId="77777777" w:rsidR="006F713E" w:rsidRDefault="006F713E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620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E28"/>
    <w:rsid w:val="000A3AB7"/>
    <w:rsid w:val="000B70BC"/>
    <w:rsid w:val="000D63EA"/>
    <w:rsid w:val="00130BCF"/>
    <w:rsid w:val="00141228"/>
    <w:rsid w:val="001915BB"/>
    <w:rsid w:val="001B01B9"/>
    <w:rsid w:val="001C4D3F"/>
    <w:rsid w:val="00212321"/>
    <w:rsid w:val="0024355C"/>
    <w:rsid w:val="00253023"/>
    <w:rsid w:val="002728D5"/>
    <w:rsid w:val="002C3396"/>
    <w:rsid w:val="00301A07"/>
    <w:rsid w:val="00380D2D"/>
    <w:rsid w:val="003E36F9"/>
    <w:rsid w:val="003E3A99"/>
    <w:rsid w:val="00401671"/>
    <w:rsid w:val="004068A4"/>
    <w:rsid w:val="004205F0"/>
    <w:rsid w:val="004334F6"/>
    <w:rsid w:val="005B15CA"/>
    <w:rsid w:val="005C7F01"/>
    <w:rsid w:val="005F2E91"/>
    <w:rsid w:val="0066310C"/>
    <w:rsid w:val="006D1E28"/>
    <w:rsid w:val="006F713E"/>
    <w:rsid w:val="00702EE0"/>
    <w:rsid w:val="007336EE"/>
    <w:rsid w:val="00776790"/>
    <w:rsid w:val="007B66B4"/>
    <w:rsid w:val="007E6EFB"/>
    <w:rsid w:val="007F0273"/>
    <w:rsid w:val="00801CEE"/>
    <w:rsid w:val="0081756B"/>
    <w:rsid w:val="00880AF5"/>
    <w:rsid w:val="008B131C"/>
    <w:rsid w:val="008B4FBF"/>
    <w:rsid w:val="008B71FE"/>
    <w:rsid w:val="008E37A3"/>
    <w:rsid w:val="008F08A0"/>
    <w:rsid w:val="00913DF7"/>
    <w:rsid w:val="00971C2B"/>
    <w:rsid w:val="00973930"/>
    <w:rsid w:val="00A00CA3"/>
    <w:rsid w:val="00A2009C"/>
    <w:rsid w:val="00A8196D"/>
    <w:rsid w:val="00AC3630"/>
    <w:rsid w:val="00B17F72"/>
    <w:rsid w:val="00B64541"/>
    <w:rsid w:val="00B64FB7"/>
    <w:rsid w:val="00B96056"/>
    <w:rsid w:val="00BC173A"/>
    <w:rsid w:val="00BD769A"/>
    <w:rsid w:val="00C03509"/>
    <w:rsid w:val="00C0768E"/>
    <w:rsid w:val="00C84C8D"/>
    <w:rsid w:val="00CA1A68"/>
    <w:rsid w:val="00D1736E"/>
    <w:rsid w:val="00D9677B"/>
    <w:rsid w:val="00DA2724"/>
    <w:rsid w:val="00E12547"/>
    <w:rsid w:val="00E1777F"/>
    <w:rsid w:val="00EA08B2"/>
    <w:rsid w:val="00F14C14"/>
    <w:rsid w:val="00F15257"/>
    <w:rsid w:val="00F37659"/>
    <w:rsid w:val="00F547F4"/>
    <w:rsid w:val="00F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3E224C"/>
  <w15:chartTrackingRefBased/>
  <w15:docId w15:val="{B1D1CA7E-A36A-429D-B009-3418FF75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customStyle="1" w:styleId="10">
    <w:name w:val="Заголовок 1 Знак"/>
    <w:rPr>
      <w:rFonts w:eastAsia="Times New Roman" w:cs="Times New Roman"/>
      <w:b/>
      <w:bCs/>
      <w:kern w:val="2"/>
      <w:sz w:val="48"/>
      <w:szCs w:val="48"/>
    </w:rPr>
  </w:style>
  <w:style w:type="character" w:customStyle="1" w:styleId="qabuget">
    <w:name w:val="qa_buget"/>
    <w:basedOn w:val="a4"/>
  </w:style>
  <w:style w:type="character" w:customStyle="1" w:styleId="qacode">
    <w:name w:val="qa_code"/>
    <w:basedOn w:val="a4"/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h-hidden">
    <w:name w:val="h-hidden"/>
  </w:style>
  <w:style w:type="character" w:customStyle="1" w:styleId="a6">
    <w:name w:val="Без интервала Знак"/>
    <w:rPr>
      <w:rFonts w:ascii="Calibri" w:eastAsia="Times New Roman" w:hAnsi="Calibri" w:cs="Times New Roman"/>
      <w:sz w:val="22"/>
      <w:szCs w:val="22"/>
      <w:lang w:val="uk-UA" w:bidi="ar-SA"/>
    </w:rPr>
  </w:style>
  <w:style w:type="character" w:customStyle="1" w:styleId="a7">
    <w:name w:val="Верхний колонтитул Знак"/>
    <w:rPr>
      <w:rFonts w:ascii="Calibri" w:hAnsi="Calibri" w:cs="Times New Roman"/>
      <w:sz w:val="22"/>
      <w:szCs w:val="22"/>
      <w:lang w:val="uk-UA"/>
    </w:rPr>
  </w:style>
  <w:style w:type="character" w:customStyle="1" w:styleId="a8">
    <w:name w:val="Нижний колонтитул Знак"/>
    <w:rPr>
      <w:rFonts w:ascii="Calibri" w:hAnsi="Calibri" w:cs="Times New Roman"/>
      <w:sz w:val="22"/>
      <w:szCs w:val="22"/>
      <w:lang w:val="uk-UA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a">
    <w:name w:val="List"/>
    <w:basedOn w:val="a0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Lohit Devanagari"/>
    </w:rPr>
  </w:style>
  <w:style w:type="paragraph" w:customStyle="1" w:styleId="ad">
    <w:name w:val="Текст выноски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ae">
    <w:name w:val="Без интервала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Hyperlink"/>
    <w:uiPriority w:val="99"/>
    <w:unhideWhenUsed/>
    <w:rsid w:val="00F37659"/>
    <w:rPr>
      <w:color w:val="467886"/>
      <w:u w:val="single"/>
    </w:rPr>
  </w:style>
  <w:style w:type="character" w:styleId="af4">
    <w:name w:val="Unresolved Mention"/>
    <w:uiPriority w:val="99"/>
    <w:semiHidden/>
    <w:unhideWhenUsed/>
    <w:rsid w:val="00F37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6-03-18-001432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ivli.pro/cabinet/purchases/state_purchase/view/66882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cp:lastModifiedBy>Alyona Tuzynska</cp:lastModifiedBy>
  <cp:revision>7</cp:revision>
  <cp:lastPrinted>2022-02-16T12:08:00Z</cp:lastPrinted>
  <dcterms:created xsi:type="dcterms:W3CDTF">2026-03-24T08:55:00Z</dcterms:created>
  <dcterms:modified xsi:type="dcterms:W3CDTF">2026-05-11T08:19:00Z</dcterms:modified>
</cp:coreProperties>
</file>