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273B" w14:textId="77777777" w:rsidR="008059F2" w:rsidRPr="008D25F0" w:rsidRDefault="008059F2" w:rsidP="008059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29AAAB45" w14:textId="2B3EB8E0" w:rsidR="008059F2" w:rsidRDefault="008059F2" w:rsidP="008059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D25F0">
        <w:rPr>
          <w:rFonts w:ascii="Times New Roman" w:hAnsi="Times New Roman"/>
          <w:bCs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3794FAF" w14:textId="77777777" w:rsidR="00597E08" w:rsidRDefault="004C33B3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A21F7">
        <w:rPr>
          <w:rFonts w:ascii="Times New Roman" w:hAnsi="Times New Roman"/>
          <w:sz w:val="24"/>
          <w:szCs w:val="24"/>
        </w:rPr>
        <w:t>(відповідно до пункту 4</w:t>
      </w:r>
      <w:r w:rsidRPr="003A21F7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3A21F7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72CDAB2" w14:textId="77777777" w:rsidR="00A30EAF" w:rsidRPr="00A30EAF" w:rsidRDefault="00A30EAF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F34F43F" w14:textId="0EA052B4" w:rsidR="00A30EAF" w:rsidRPr="00A30EAF" w:rsidRDefault="00A30EAF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Pr="00A30EAF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 xml:space="preserve">Алерген сухий очищений з атипових мікобактерій (ААМ) з розчинником </w:t>
        </w:r>
        <w:proofErr w:type="spellStart"/>
        <w:r w:rsidRPr="00A30EAF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мікобактеріальних</w:t>
        </w:r>
        <w:proofErr w:type="spellEnd"/>
        <w:r w:rsidRPr="00A30EAF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 xml:space="preserve"> алергенів. ДК 021:2015 33690000-3 - Лікарські засоби різні</w:t>
        </w:r>
      </w:hyperlink>
    </w:p>
    <w:p w14:paraId="6F1E79DF" w14:textId="77777777" w:rsidR="008B3757" w:rsidRPr="008B3757" w:rsidRDefault="008B3757" w:rsidP="00B06D0C">
      <w:pPr>
        <w:spacing w:after="12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7A9BBE35" w14:textId="36F381B9" w:rsidR="00A30EAF" w:rsidRPr="003A21F7" w:rsidRDefault="008B3757" w:rsidP="00B06D0C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Pr="005F21CF">
          <w:rPr>
            <w:rStyle w:val="ac"/>
            <w:rFonts w:ascii="Times New Roman" w:hAnsi="Times New Roman"/>
            <w:sz w:val="24"/>
            <w:szCs w:val="24"/>
          </w:rPr>
          <w:t>https://prozorro.gov.ua/uk/tender/UA-2026-03-30-004295-a</w:t>
        </w:r>
      </w:hyperlink>
      <w:r w:rsidR="00A30EAF">
        <w:rPr>
          <w:rFonts w:ascii="Times New Roman" w:hAnsi="Times New Roman"/>
          <w:sz w:val="24"/>
          <w:szCs w:val="24"/>
        </w:rPr>
        <w:t xml:space="preserve"> </w:t>
      </w:r>
    </w:p>
    <w:p w14:paraId="2FF2A958" w14:textId="77777777" w:rsidR="00B06D0C" w:rsidRPr="008059F2" w:rsidRDefault="00B06D0C" w:rsidP="00B06D0C">
      <w:pPr>
        <w:spacing w:after="12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3A21F7" w14:paraId="4AC58EC4" w14:textId="77777777" w:rsidTr="009E4CDB">
        <w:tc>
          <w:tcPr>
            <w:tcW w:w="421" w:type="dxa"/>
            <w:vAlign w:val="center"/>
          </w:tcPr>
          <w:p w14:paraId="0B57545D" w14:textId="77777777" w:rsidR="004C33B3" w:rsidRPr="003A21F7" w:rsidRDefault="004C33B3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3" w:type="dxa"/>
            <w:vAlign w:val="center"/>
          </w:tcPr>
          <w:p w14:paraId="304C1A86" w14:textId="77777777" w:rsidR="004C33B3" w:rsidRPr="003A21F7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2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72A25CFF" w14:textId="77777777" w:rsidR="00337C42" w:rsidRPr="003A21F7" w:rsidRDefault="00337C42" w:rsidP="003A21F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Алерген сухий очищений з атипових мікобактерій (ААМ) з розчинником </w:t>
            </w:r>
            <w:proofErr w:type="spellStart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мікобактеріальних</w:t>
            </w:r>
            <w:proofErr w:type="spellEnd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алергенів.</w:t>
            </w:r>
            <w:r w:rsidR="00224A58"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59D68611" w14:textId="77777777" w:rsidR="00337C42" w:rsidRPr="003A21F7" w:rsidRDefault="00337C42" w:rsidP="003A21F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Алерген сухий у формі </w:t>
            </w:r>
            <w:proofErr w:type="spellStart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ліофілізату</w:t>
            </w:r>
            <w:proofErr w:type="spellEnd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Виготовлений з </w:t>
            </w:r>
            <w:proofErr w:type="spellStart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культурального</w:t>
            </w:r>
            <w:proofErr w:type="spellEnd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фільтрату </w:t>
            </w:r>
            <w:proofErr w:type="spellStart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протеїногенних</w:t>
            </w:r>
            <w:proofErr w:type="spellEnd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виробничих штамів атипових мікобактерій </w:t>
            </w:r>
            <w:proofErr w:type="spellStart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Mycobacterium</w:t>
            </w:r>
            <w:proofErr w:type="spellEnd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scrofulaceum</w:t>
            </w:r>
            <w:proofErr w:type="spellEnd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Mycobacterium</w:t>
            </w:r>
            <w:proofErr w:type="spellEnd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intracellularаe</w:t>
            </w:r>
            <w:proofErr w:type="spellEnd"/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Застосовують у симультанній алергічній пробі з туберкуліном очищеним (ППД) - для ссавців при діагностиці туберкульозу у великої рогатої худоби.</w:t>
            </w:r>
          </w:p>
          <w:p w14:paraId="15E21584" w14:textId="77777777" w:rsidR="00337C42" w:rsidRPr="003A21F7" w:rsidRDefault="00337C42" w:rsidP="003A21F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випуску: флакони - 20 доз.</w:t>
            </w:r>
          </w:p>
          <w:p w14:paraId="1D602C8A" w14:textId="77777777" w:rsidR="00337C42" w:rsidRPr="003A21F7" w:rsidRDefault="00337C42" w:rsidP="003A21F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придатності – не менше 12 місяців</w:t>
            </w:r>
          </w:p>
          <w:p w14:paraId="0D997DD5" w14:textId="77777777" w:rsidR="00337C42" w:rsidRPr="003A21F7" w:rsidRDefault="00337C42" w:rsidP="003A21F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– відповідно до інструкції по застосуванню.</w:t>
            </w:r>
          </w:p>
          <w:p w14:paraId="547D03BC" w14:textId="77777777" w:rsidR="00337C42" w:rsidRPr="003A21F7" w:rsidRDefault="00337C42" w:rsidP="003A21F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Розчинник - прозора безбарвна рідина.</w:t>
            </w:r>
          </w:p>
          <w:p w14:paraId="5B051558" w14:textId="77777777" w:rsidR="00337C42" w:rsidRPr="003A21F7" w:rsidRDefault="00337C42" w:rsidP="003A21F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Фасування – по 2 см</w:t>
            </w:r>
            <w:r w:rsidR="00F20EE4" w:rsidRPr="003A21F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6D10A6D6" w14:textId="77777777" w:rsidR="00337C42" w:rsidRPr="003A21F7" w:rsidRDefault="00337C42" w:rsidP="003A21F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зберігання: не менше 12 місяців</w:t>
            </w:r>
          </w:p>
          <w:p w14:paraId="32DD3FBA" w14:textId="77777777" w:rsidR="00337C42" w:rsidRPr="003A21F7" w:rsidRDefault="00337C42" w:rsidP="003A21F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– відповідно до інструкції по застосуванню</w:t>
            </w:r>
          </w:p>
          <w:p w14:paraId="6CE29045" w14:textId="68C78836" w:rsidR="00455325" w:rsidRPr="003A21F7" w:rsidRDefault="005C1A79" w:rsidP="008059F2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F7">
              <w:rPr>
                <w:rFonts w:ascii="Times New Roman" w:hAnsi="Times New Roman"/>
                <w:sz w:val="24"/>
                <w:szCs w:val="24"/>
              </w:rPr>
              <w:t>Планом</w:t>
            </w:r>
            <w:r w:rsidR="00BE05FC" w:rsidRPr="003A21F7">
              <w:rPr>
                <w:rFonts w:ascii="Times New Roman" w:hAnsi="Times New Roman"/>
                <w:sz w:val="24"/>
                <w:szCs w:val="24"/>
              </w:rPr>
              <w:t xml:space="preserve"> протиепізоотичних заходів з профілактики основних інфекційних і паразитарних хвороб тварин в Україні </w:t>
            </w:r>
            <w:r w:rsidR="008059F2">
              <w:rPr>
                <w:rFonts w:ascii="Times New Roman" w:hAnsi="Times New Roman"/>
                <w:sz w:val="24"/>
                <w:szCs w:val="24"/>
              </w:rPr>
              <w:t>на</w:t>
            </w:r>
            <w:r w:rsidR="00BE05FC" w:rsidRPr="003A21F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27886">
              <w:rPr>
                <w:rFonts w:ascii="Times New Roman" w:hAnsi="Times New Roman"/>
                <w:sz w:val="24"/>
                <w:szCs w:val="24"/>
              </w:rPr>
              <w:t>6</w:t>
            </w:r>
            <w:r w:rsidR="00BE05FC" w:rsidRPr="003A2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59F2">
              <w:rPr>
                <w:rFonts w:ascii="Times New Roman" w:hAnsi="Times New Roman"/>
                <w:sz w:val="24"/>
                <w:szCs w:val="24"/>
              </w:rPr>
              <w:t>рік</w:t>
            </w:r>
            <w:r w:rsidR="00BE05FC" w:rsidRPr="003A21F7">
              <w:rPr>
                <w:rFonts w:ascii="Times New Roman" w:hAnsi="Times New Roman"/>
                <w:sz w:val="24"/>
                <w:szCs w:val="24"/>
              </w:rPr>
              <w:t xml:space="preserve">, передбачена закупівля </w:t>
            </w:r>
            <w:r w:rsidR="00D27886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>28,42</w:t>
            </w:r>
            <w:r w:rsidR="00130631" w:rsidRPr="003A21F7">
              <w:rPr>
                <w:rFonts w:ascii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тис.</w:t>
            </w:r>
            <w:r w:rsidR="00BE05FC" w:rsidRPr="003A21F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доз </w:t>
            </w:r>
            <w:r w:rsidR="00337C42" w:rsidRPr="003A21F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алергену сухого очищеного з атипових мікобактерій</w:t>
            </w:r>
            <w:r w:rsidR="00A30EAF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.</w:t>
            </w:r>
          </w:p>
        </w:tc>
      </w:tr>
      <w:tr w:rsidR="004C33B3" w:rsidRPr="003A21F7" w14:paraId="3DAB875E" w14:textId="77777777" w:rsidTr="009E4CDB">
        <w:tc>
          <w:tcPr>
            <w:tcW w:w="421" w:type="dxa"/>
            <w:vAlign w:val="center"/>
          </w:tcPr>
          <w:p w14:paraId="1802DE08" w14:textId="77777777" w:rsidR="004C33B3" w:rsidRPr="003A21F7" w:rsidRDefault="00A03BB9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3" w:type="dxa"/>
            <w:vAlign w:val="center"/>
          </w:tcPr>
          <w:p w14:paraId="410C90CE" w14:textId="77777777" w:rsidR="004C33B3" w:rsidRPr="003A21F7" w:rsidRDefault="008150F7" w:rsidP="001922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2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20" w:type="dxa"/>
            <w:vAlign w:val="center"/>
          </w:tcPr>
          <w:p w14:paraId="1A1BF5A5" w14:textId="77777777" w:rsidR="00B06D0C" w:rsidRPr="003A21F7" w:rsidRDefault="008150F7" w:rsidP="003A21F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</w:t>
            </w:r>
            <w:r w:rsidR="00455325"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бюджетної програми на 202</w:t>
            </w:r>
            <w:r w:rsidR="00D27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 за КПКВ</w:t>
            </w:r>
            <w:r w:rsidR="00CA6C05"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A21F7"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0412020</w:t>
            </w: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«Протиепізоотичні заходи та участь у </w:t>
            </w:r>
            <w:r w:rsidR="001F65BE" w:rsidRPr="001F6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Всесвітній організації охорони здоров’я тварин (МЕБ)</w:t>
            </w:r>
            <w:r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КЕКВ «Медикаменти та перев’язувальні матеріали»</w:t>
            </w:r>
            <w:r w:rsidR="00E57B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150F7" w:rsidRPr="003A21F7" w14:paraId="1CD466AC" w14:textId="77777777" w:rsidTr="009E4CDB">
        <w:tc>
          <w:tcPr>
            <w:tcW w:w="421" w:type="dxa"/>
            <w:vAlign w:val="center"/>
          </w:tcPr>
          <w:p w14:paraId="78750579" w14:textId="77777777" w:rsidR="008150F7" w:rsidRPr="003A21F7" w:rsidRDefault="008150F7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3" w:type="dxa"/>
            <w:vAlign w:val="center"/>
          </w:tcPr>
          <w:p w14:paraId="3C5FFB7A" w14:textId="77777777" w:rsidR="008150F7" w:rsidRPr="003A21F7" w:rsidRDefault="008150F7" w:rsidP="0082700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493F4F5C" w14:textId="77777777" w:rsidR="008150F7" w:rsidRPr="003A21F7" w:rsidRDefault="00D27886" w:rsidP="0019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310 925,03</w:t>
            </w:r>
            <w:r w:rsidR="00896DBF"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50F7" w:rsidRPr="003A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грн</w:t>
            </w:r>
            <w:r w:rsidR="008150F7" w:rsidRPr="003A21F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 ПДВ</w:t>
            </w:r>
          </w:p>
        </w:tc>
      </w:tr>
      <w:tr w:rsidR="003A21F7" w:rsidRPr="003A21F7" w14:paraId="75DBEE34" w14:textId="77777777" w:rsidTr="009E4CDB">
        <w:tc>
          <w:tcPr>
            <w:tcW w:w="421" w:type="dxa"/>
            <w:vAlign w:val="center"/>
          </w:tcPr>
          <w:p w14:paraId="1B739DB1" w14:textId="77777777" w:rsidR="003A21F7" w:rsidRPr="003A21F7" w:rsidRDefault="003A21F7" w:rsidP="003A2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3" w:type="dxa"/>
            <w:vAlign w:val="center"/>
          </w:tcPr>
          <w:p w14:paraId="3D755489" w14:textId="77777777" w:rsidR="003A21F7" w:rsidRPr="003A21F7" w:rsidRDefault="003A21F7" w:rsidP="003A2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2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  <w:vAlign w:val="center"/>
          </w:tcPr>
          <w:p w14:paraId="5938DF50" w14:textId="77777777" w:rsidR="003A21F7" w:rsidRPr="003A21F7" w:rsidRDefault="0099690D" w:rsidP="003A21F7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D27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96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805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27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96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05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996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D278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96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рішення Державної надзвичайної протиепізоотичної комісії при Кабінеті Міністрів України</w:t>
            </w:r>
            <w:r w:rsidR="00954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969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4CF3" w:rsidRPr="00954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враховуючи обмежену конкуренцію на ринку та неможливість отримання достатньої кількості інформації щодо актуальних ринкових цін, застосовувався метод розрахунку очікуваної вартості на підставі цін минулих </w:t>
            </w:r>
            <w:proofErr w:type="spellStart"/>
            <w:r w:rsidR="00954CF3" w:rsidRPr="00954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3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25C8" w:rsidRPr="003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 застосовування методу розрахунку очікуваної вартості на підставі закупівельних цін минулих </w:t>
            </w:r>
            <w:proofErr w:type="spellStart"/>
            <w:r w:rsidR="003F25C8" w:rsidRPr="003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3F25C8" w:rsidRPr="003F2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A21F7" w:rsidRPr="003A21F7" w14:paraId="57798EB6" w14:textId="77777777" w:rsidTr="009E4CDB">
        <w:tc>
          <w:tcPr>
            <w:tcW w:w="421" w:type="dxa"/>
            <w:vAlign w:val="center"/>
          </w:tcPr>
          <w:p w14:paraId="114E418C" w14:textId="77777777" w:rsidR="003A21F7" w:rsidRPr="003A21F7" w:rsidRDefault="003A21F7" w:rsidP="003A2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1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3" w:type="dxa"/>
            <w:vAlign w:val="center"/>
          </w:tcPr>
          <w:p w14:paraId="023546B2" w14:textId="77777777" w:rsidR="003A21F7" w:rsidRPr="003A21F7" w:rsidRDefault="003A21F7" w:rsidP="003A21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21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20" w:type="dxa"/>
            <w:vAlign w:val="center"/>
          </w:tcPr>
          <w:p w14:paraId="50E5BBEE" w14:textId="77777777" w:rsidR="008059F2" w:rsidRPr="008059F2" w:rsidRDefault="008059F2" w:rsidP="008059F2">
            <w:pPr>
              <w:shd w:val="clear" w:color="auto" w:fill="FFFFFF"/>
              <w:spacing w:after="0" w:line="240" w:lineRule="auto"/>
              <w:ind w:firstLine="314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5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Pr="00805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М. – директор Департаменту безпечності харчових продуктів та ветеринарної медицини </w:t>
            </w:r>
          </w:p>
          <w:p w14:paraId="18678C2E" w14:textId="77777777" w:rsidR="003A21F7" w:rsidRPr="003A21F7" w:rsidRDefault="008059F2" w:rsidP="008059F2">
            <w:pPr>
              <w:shd w:val="clear" w:color="auto" w:fill="FFFFFF"/>
              <w:spacing w:after="0" w:line="240" w:lineRule="auto"/>
              <w:ind w:firstLine="314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05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805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(044) 278-44-67</w:t>
            </w:r>
          </w:p>
        </w:tc>
      </w:tr>
    </w:tbl>
    <w:p w14:paraId="6D64B953" w14:textId="2D0E45E7" w:rsidR="004C33B3" w:rsidRDefault="004C33B3" w:rsidP="008059F2">
      <w:pPr>
        <w:jc w:val="center"/>
      </w:pPr>
    </w:p>
    <w:sectPr w:rsidR="004C33B3" w:rsidSect="008059F2">
      <w:headerReference w:type="default" r:id="rId8"/>
      <w:pgSz w:w="11906" w:h="16838"/>
      <w:pgMar w:top="284" w:right="567" w:bottom="426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A738" w14:textId="77777777" w:rsidR="008F07AD" w:rsidRDefault="008F07AD" w:rsidP="005C1A79">
      <w:pPr>
        <w:spacing w:after="0" w:line="240" w:lineRule="auto"/>
      </w:pPr>
      <w:r>
        <w:separator/>
      </w:r>
    </w:p>
  </w:endnote>
  <w:endnote w:type="continuationSeparator" w:id="0">
    <w:p w14:paraId="651A215B" w14:textId="77777777" w:rsidR="008F07AD" w:rsidRDefault="008F07AD" w:rsidP="005C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3E45" w14:textId="77777777" w:rsidR="008F07AD" w:rsidRDefault="008F07AD" w:rsidP="005C1A79">
      <w:pPr>
        <w:spacing w:after="0" w:line="240" w:lineRule="auto"/>
      </w:pPr>
      <w:r>
        <w:separator/>
      </w:r>
    </w:p>
  </w:footnote>
  <w:footnote w:type="continuationSeparator" w:id="0">
    <w:p w14:paraId="5186E291" w14:textId="77777777" w:rsidR="008F07AD" w:rsidRDefault="008F07AD" w:rsidP="005C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B8DA" w14:textId="77777777" w:rsidR="005C1A79" w:rsidRDefault="005C1A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0EE4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CEE"/>
    <w:rsid w:val="000000F4"/>
    <w:rsid w:val="00012251"/>
    <w:rsid w:val="00036656"/>
    <w:rsid w:val="00054FF7"/>
    <w:rsid w:val="0005529E"/>
    <w:rsid w:val="00073E12"/>
    <w:rsid w:val="00076E06"/>
    <w:rsid w:val="00080B69"/>
    <w:rsid w:val="000A28F3"/>
    <w:rsid w:val="000B283C"/>
    <w:rsid w:val="000C4F4F"/>
    <w:rsid w:val="000F15CA"/>
    <w:rsid w:val="0012201E"/>
    <w:rsid w:val="00125D20"/>
    <w:rsid w:val="00130631"/>
    <w:rsid w:val="00134D11"/>
    <w:rsid w:val="00175D5D"/>
    <w:rsid w:val="00185099"/>
    <w:rsid w:val="00192265"/>
    <w:rsid w:val="0019673C"/>
    <w:rsid w:val="001C2225"/>
    <w:rsid w:val="001E0C33"/>
    <w:rsid w:val="001F65BE"/>
    <w:rsid w:val="00205858"/>
    <w:rsid w:val="00224A58"/>
    <w:rsid w:val="00236819"/>
    <w:rsid w:val="00282415"/>
    <w:rsid w:val="002B773C"/>
    <w:rsid w:val="00300DCA"/>
    <w:rsid w:val="00337C42"/>
    <w:rsid w:val="003535CC"/>
    <w:rsid w:val="00381F89"/>
    <w:rsid w:val="003824F0"/>
    <w:rsid w:val="003A21F7"/>
    <w:rsid w:val="003D4151"/>
    <w:rsid w:val="003E6E6E"/>
    <w:rsid w:val="003F25C8"/>
    <w:rsid w:val="003F44FA"/>
    <w:rsid w:val="003F51B1"/>
    <w:rsid w:val="00453AC5"/>
    <w:rsid w:val="00455325"/>
    <w:rsid w:val="004B3609"/>
    <w:rsid w:val="004C33B3"/>
    <w:rsid w:val="005157F7"/>
    <w:rsid w:val="005532E5"/>
    <w:rsid w:val="0059079A"/>
    <w:rsid w:val="00597E08"/>
    <w:rsid w:val="005A1CEE"/>
    <w:rsid w:val="005C1A79"/>
    <w:rsid w:val="005C1FF8"/>
    <w:rsid w:val="005C5995"/>
    <w:rsid w:val="00675038"/>
    <w:rsid w:val="0069369C"/>
    <w:rsid w:val="006D76AB"/>
    <w:rsid w:val="00736A3B"/>
    <w:rsid w:val="007A541B"/>
    <w:rsid w:val="008059F2"/>
    <w:rsid w:val="008150F7"/>
    <w:rsid w:val="0082700E"/>
    <w:rsid w:val="00840ED7"/>
    <w:rsid w:val="00846AC4"/>
    <w:rsid w:val="0089282F"/>
    <w:rsid w:val="00896DBF"/>
    <w:rsid w:val="008B3757"/>
    <w:rsid w:val="008B5545"/>
    <w:rsid w:val="008F07AD"/>
    <w:rsid w:val="009030D7"/>
    <w:rsid w:val="00954CF3"/>
    <w:rsid w:val="00961F21"/>
    <w:rsid w:val="0099690D"/>
    <w:rsid w:val="009A0027"/>
    <w:rsid w:val="009A0E8B"/>
    <w:rsid w:val="009A47B6"/>
    <w:rsid w:val="009B0A1A"/>
    <w:rsid w:val="009B2EBA"/>
    <w:rsid w:val="009C10AD"/>
    <w:rsid w:val="009C49F9"/>
    <w:rsid w:val="009E4CDB"/>
    <w:rsid w:val="00A01CDF"/>
    <w:rsid w:val="00A03BB9"/>
    <w:rsid w:val="00A30EAF"/>
    <w:rsid w:val="00A52734"/>
    <w:rsid w:val="00A70683"/>
    <w:rsid w:val="00A73235"/>
    <w:rsid w:val="00A85AC8"/>
    <w:rsid w:val="00A90DF4"/>
    <w:rsid w:val="00AF119C"/>
    <w:rsid w:val="00B06D0C"/>
    <w:rsid w:val="00B32E0E"/>
    <w:rsid w:val="00B505BF"/>
    <w:rsid w:val="00B65EFE"/>
    <w:rsid w:val="00BA2DD0"/>
    <w:rsid w:val="00BE05FC"/>
    <w:rsid w:val="00BE2AF3"/>
    <w:rsid w:val="00C02A94"/>
    <w:rsid w:val="00C040C6"/>
    <w:rsid w:val="00C06B42"/>
    <w:rsid w:val="00C07741"/>
    <w:rsid w:val="00C20F57"/>
    <w:rsid w:val="00C446FC"/>
    <w:rsid w:val="00CA6C05"/>
    <w:rsid w:val="00CC6F28"/>
    <w:rsid w:val="00CD2765"/>
    <w:rsid w:val="00D27886"/>
    <w:rsid w:val="00D54450"/>
    <w:rsid w:val="00D746AB"/>
    <w:rsid w:val="00D83CCE"/>
    <w:rsid w:val="00D9009A"/>
    <w:rsid w:val="00DC2F16"/>
    <w:rsid w:val="00DD4CA6"/>
    <w:rsid w:val="00DE562E"/>
    <w:rsid w:val="00E0543A"/>
    <w:rsid w:val="00E57B21"/>
    <w:rsid w:val="00E95AEE"/>
    <w:rsid w:val="00EA7985"/>
    <w:rsid w:val="00F04881"/>
    <w:rsid w:val="00F20EE4"/>
    <w:rsid w:val="00F624DE"/>
    <w:rsid w:val="00F73CB6"/>
    <w:rsid w:val="00FA0835"/>
    <w:rsid w:val="00FD3ACA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DF5B"/>
  <w15:chartTrackingRefBased/>
  <w15:docId w15:val="{4347C533-E487-42DB-A600-231A5A8E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No Spacing"/>
    <w:link w:val="a7"/>
    <w:uiPriority w:val="99"/>
    <w:qFormat/>
    <w:rsid w:val="00BE05FC"/>
    <w:rPr>
      <w:rFonts w:ascii="Calibri" w:eastAsia="Times New Roman" w:hAnsi="Calibri" w:cs="Times New Roman"/>
      <w:sz w:val="22"/>
      <w:szCs w:val="22"/>
    </w:rPr>
  </w:style>
  <w:style w:type="character" w:customStyle="1" w:styleId="a7">
    <w:name w:val="Без інтервалів Знак"/>
    <w:link w:val="a6"/>
    <w:uiPriority w:val="99"/>
    <w:rsid w:val="005C1A79"/>
    <w:rPr>
      <w:rFonts w:ascii="Calibri" w:eastAsia="Times New Roman" w:hAnsi="Calibri" w:cs="Times New Roman"/>
      <w:sz w:val="22"/>
      <w:szCs w:val="22"/>
      <w:lang w:val="uk-UA" w:eastAsia="uk-UA" w:bidi="ar-SA"/>
    </w:rPr>
  </w:style>
  <w:style w:type="paragraph" w:styleId="a8">
    <w:name w:val="header"/>
    <w:basedOn w:val="a"/>
    <w:link w:val="a9"/>
    <w:uiPriority w:val="99"/>
    <w:unhideWhenUsed/>
    <w:rsid w:val="005C1A7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5C1A79"/>
    <w:rPr>
      <w:rFonts w:ascii="Calibri" w:hAnsi="Calibri" w:cs="Times New Roman"/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semiHidden/>
    <w:unhideWhenUsed/>
    <w:rsid w:val="005C1A7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sid w:val="005C1A79"/>
    <w:rPr>
      <w:rFonts w:ascii="Calibri" w:hAnsi="Calibri" w:cs="Times New Roman"/>
      <w:sz w:val="22"/>
      <w:szCs w:val="22"/>
      <w:lang w:val="uk-UA" w:eastAsia="en-US"/>
    </w:rPr>
  </w:style>
  <w:style w:type="character" w:styleId="ac">
    <w:name w:val="Hyperlink"/>
    <w:basedOn w:val="a0"/>
    <w:uiPriority w:val="99"/>
    <w:unhideWhenUsed/>
    <w:rsid w:val="00A30EA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3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zorro.gov.ua/uk/tender/UA-2026-03-30-004295-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zakupivli.pro/cabinet/purchases/state_purchase/view/6717095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1856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Alyona Tuzynska</cp:lastModifiedBy>
  <cp:revision>4</cp:revision>
  <cp:lastPrinted>2022-02-16T12:08:00Z</cp:lastPrinted>
  <dcterms:created xsi:type="dcterms:W3CDTF">2026-04-14T11:48:00Z</dcterms:created>
  <dcterms:modified xsi:type="dcterms:W3CDTF">2026-04-14T11:50:00Z</dcterms:modified>
</cp:coreProperties>
</file>