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F3" w:rsidRDefault="00F830F3" w:rsidP="00F830F3">
      <w:pPr>
        <w:ind w:left="5812"/>
        <w:jc w:val="both"/>
        <w:rPr>
          <w:rFonts w:cs="Arial Unicode MS"/>
          <w:sz w:val="28"/>
          <w:szCs w:val="28"/>
          <w:lang w:val="uk-UA"/>
        </w:rPr>
      </w:pPr>
      <w:r w:rsidRPr="00074F6B">
        <w:rPr>
          <w:rFonts w:cs="Arial Unicode MS"/>
          <w:sz w:val="28"/>
          <w:szCs w:val="28"/>
          <w:lang w:val="uk-UA"/>
        </w:rPr>
        <w:t xml:space="preserve">Додаток </w:t>
      </w:r>
      <w:r>
        <w:rPr>
          <w:rFonts w:cs="Arial Unicode MS"/>
          <w:sz w:val="28"/>
          <w:szCs w:val="28"/>
          <w:lang w:val="uk-UA"/>
        </w:rPr>
        <w:t xml:space="preserve">10 </w:t>
      </w:r>
    </w:p>
    <w:p w:rsidR="00F830F3" w:rsidRDefault="00F830F3" w:rsidP="00F830F3">
      <w:pPr>
        <w:ind w:left="5812"/>
        <w:jc w:val="both"/>
        <w:rPr>
          <w:b/>
          <w:bCs/>
          <w:sz w:val="28"/>
          <w:szCs w:val="28"/>
          <w:lang w:val="uk-UA"/>
        </w:rPr>
      </w:pPr>
      <w:r w:rsidRPr="00074F6B">
        <w:rPr>
          <w:rFonts w:cs="Arial Unicode MS"/>
          <w:sz w:val="28"/>
          <w:szCs w:val="28"/>
          <w:lang w:val="uk-UA"/>
        </w:rPr>
        <w:t xml:space="preserve">до Акта, складеного за результатами проведення планового (позапланового) заходу державного нагляду (контролю) </w:t>
      </w:r>
      <w:r>
        <w:rPr>
          <w:rFonts w:cs="Arial Unicode MS"/>
          <w:sz w:val="28"/>
          <w:szCs w:val="28"/>
          <w:lang w:val="uk-UA"/>
        </w:rPr>
        <w:t>щодо</w:t>
      </w:r>
      <w:r w:rsidRPr="00074F6B">
        <w:rPr>
          <w:rFonts w:cs="Arial Unicode MS"/>
          <w:sz w:val="28"/>
          <w:szCs w:val="28"/>
          <w:lang w:val="uk-UA"/>
        </w:rPr>
        <w:t xml:space="preserve"> додержання суб’єктом господарювання вимог законодавства у сфері ветеринарної медицини</w:t>
      </w:r>
      <w:r>
        <w:rPr>
          <w:b/>
          <w:bCs/>
          <w:sz w:val="28"/>
          <w:szCs w:val="28"/>
          <w:lang w:val="uk-UA"/>
        </w:rPr>
        <w:t xml:space="preserve"> </w:t>
      </w:r>
    </w:p>
    <w:p w:rsidR="00F830F3" w:rsidRDefault="00F830F3" w:rsidP="00E16089">
      <w:pPr>
        <w:jc w:val="center"/>
        <w:rPr>
          <w:b/>
          <w:bCs/>
          <w:sz w:val="28"/>
          <w:szCs w:val="28"/>
          <w:lang w:val="uk-UA"/>
        </w:rPr>
      </w:pPr>
    </w:p>
    <w:p w:rsidR="00F830F3" w:rsidRDefault="00F830F3" w:rsidP="00E16089">
      <w:pPr>
        <w:jc w:val="center"/>
        <w:rPr>
          <w:b/>
          <w:bCs/>
          <w:sz w:val="28"/>
          <w:szCs w:val="28"/>
          <w:lang w:val="uk-UA"/>
        </w:rPr>
      </w:pPr>
    </w:p>
    <w:p w:rsidR="00E16089" w:rsidRPr="00A41977" w:rsidRDefault="00E16089" w:rsidP="00E16089">
      <w:pPr>
        <w:jc w:val="center"/>
        <w:rPr>
          <w:b/>
          <w:bCs/>
          <w:sz w:val="28"/>
          <w:szCs w:val="28"/>
          <w:lang w:val="uk-UA"/>
        </w:rPr>
      </w:pPr>
      <w:r>
        <w:rPr>
          <w:b/>
          <w:bCs/>
          <w:sz w:val="28"/>
          <w:szCs w:val="28"/>
          <w:lang w:val="uk-UA"/>
        </w:rPr>
        <w:t>Перелік питань</w:t>
      </w:r>
    </w:p>
    <w:p w:rsidR="00E16089" w:rsidRDefault="00E16089" w:rsidP="00E16089">
      <w:pPr>
        <w:jc w:val="center"/>
        <w:rPr>
          <w:b/>
          <w:bCs/>
          <w:sz w:val="28"/>
          <w:szCs w:val="28"/>
          <w:lang w:val="uk-UA"/>
        </w:rPr>
      </w:pPr>
      <w:r w:rsidRPr="00A41977">
        <w:rPr>
          <w:b/>
          <w:bCs/>
          <w:sz w:val="28"/>
          <w:szCs w:val="28"/>
          <w:lang w:val="uk-UA"/>
        </w:rPr>
        <w:t xml:space="preserve">щодо проведення планового (позапланового) заходу державного нагляду (контролю) </w:t>
      </w:r>
      <w:r>
        <w:rPr>
          <w:b/>
          <w:bCs/>
          <w:sz w:val="28"/>
          <w:szCs w:val="28"/>
          <w:lang w:val="uk-UA"/>
        </w:rPr>
        <w:t>щодо</w:t>
      </w:r>
      <w:r w:rsidRPr="00A41977">
        <w:rPr>
          <w:b/>
          <w:bCs/>
          <w:sz w:val="28"/>
          <w:szCs w:val="28"/>
          <w:lang w:val="uk-UA"/>
        </w:rPr>
        <w:t xml:space="preserve"> додер</w:t>
      </w:r>
      <w:r>
        <w:rPr>
          <w:b/>
          <w:bCs/>
          <w:sz w:val="28"/>
          <w:szCs w:val="28"/>
          <w:lang w:val="uk-UA"/>
        </w:rPr>
        <w:t xml:space="preserve">жання </w:t>
      </w:r>
      <w:r w:rsidRPr="0040520F">
        <w:rPr>
          <w:b/>
          <w:bCs/>
          <w:sz w:val="28"/>
          <w:szCs w:val="28"/>
          <w:lang w:val="uk-UA"/>
        </w:rPr>
        <w:t xml:space="preserve">вимог законодавства у сфері ветеринарної медицини </w:t>
      </w:r>
      <w:r>
        <w:rPr>
          <w:b/>
          <w:bCs/>
          <w:sz w:val="28"/>
          <w:szCs w:val="28"/>
          <w:lang w:val="uk-UA"/>
        </w:rPr>
        <w:t xml:space="preserve">суб’єктом господарювання, </w:t>
      </w:r>
      <w:r w:rsidRPr="00A41977">
        <w:rPr>
          <w:b/>
          <w:bCs/>
          <w:sz w:val="28"/>
          <w:szCs w:val="28"/>
          <w:lang w:val="uk-UA"/>
        </w:rPr>
        <w:t xml:space="preserve">який провадить </w:t>
      </w:r>
      <w:r w:rsidRPr="00F060C8">
        <w:rPr>
          <w:b/>
          <w:bCs/>
          <w:sz w:val="28"/>
          <w:szCs w:val="28"/>
          <w:lang w:val="uk-UA"/>
        </w:rPr>
        <w:t xml:space="preserve">діяльність </w:t>
      </w:r>
      <w:r w:rsidR="000D285B">
        <w:rPr>
          <w:b/>
          <w:bCs/>
          <w:sz w:val="28"/>
          <w:szCs w:val="28"/>
          <w:lang w:val="uk-UA"/>
        </w:rPr>
        <w:t>з</w:t>
      </w:r>
      <w:r>
        <w:rPr>
          <w:b/>
          <w:bCs/>
          <w:sz w:val="28"/>
          <w:szCs w:val="28"/>
          <w:lang w:val="uk-UA"/>
        </w:rPr>
        <w:t xml:space="preserve"> обігу побічних продуктів тваринного походження</w:t>
      </w:r>
    </w:p>
    <w:p w:rsidR="00E16089" w:rsidRDefault="00E16089" w:rsidP="00E16089">
      <w:pPr>
        <w:jc w:val="center"/>
        <w:rPr>
          <w:b/>
          <w:bCs/>
          <w:sz w:val="28"/>
          <w:szCs w:val="28"/>
          <w:lang w:val="uk-UA"/>
        </w:rPr>
      </w:pPr>
    </w:p>
    <w:tbl>
      <w:tblPr>
        <w:tblW w:w="9780" w:type="dxa"/>
        <w:tblInd w:w="-34" w:type="dxa"/>
        <w:tblLayout w:type="fixed"/>
        <w:tblLook w:val="00A0"/>
      </w:tblPr>
      <w:tblGrid>
        <w:gridCol w:w="851"/>
        <w:gridCol w:w="3116"/>
        <w:gridCol w:w="1420"/>
        <w:gridCol w:w="567"/>
        <w:gridCol w:w="709"/>
        <w:gridCol w:w="567"/>
        <w:gridCol w:w="567"/>
        <w:gridCol w:w="1983"/>
      </w:tblGrid>
      <w:tr w:rsidR="00E16089" w:rsidRPr="000E62CC" w:rsidTr="008702C6">
        <w:trPr>
          <w:trHeight w:val="136"/>
        </w:trPr>
        <w:tc>
          <w:tcPr>
            <w:tcW w:w="851" w:type="dxa"/>
            <w:vMerge w:val="restart"/>
            <w:tcBorders>
              <w:top w:val="single" w:sz="4" w:space="0" w:color="000000"/>
              <w:left w:val="single" w:sz="4" w:space="0" w:color="000000"/>
              <w:bottom w:val="single" w:sz="4" w:space="0" w:color="000000"/>
              <w:right w:val="nil"/>
            </w:tcBorders>
            <w:hideMark/>
          </w:tcPr>
          <w:p w:rsidR="00E16089" w:rsidRPr="000E62CC" w:rsidRDefault="00E16089" w:rsidP="008702C6">
            <w:pPr>
              <w:snapToGrid w:val="0"/>
              <w:jc w:val="center"/>
              <w:rPr>
                <w:lang w:val="uk-UA" w:eastAsia="en-US"/>
              </w:rPr>
            </w:pPr>
            <w:r w:rsidRPr="000E62CC">
              <w:rPr>
                <w:sz w:val="28"/>
                <w:szCs w:val="28"/>
                <w:lang w:eastAsia="en-US"/>
              </w:rPr>
              <w:t>№</w:t>
            </w:r>
            <w:r>
              <w:rPr>
                <w:sz w:val="28"/>
                <w:szCs w:val="28"/>
                <w:lang w:val="uk-UA" w:eastAsia="en-US"/>
              </w:rPr>
              <w:t xml:space="preserve"> </w:t>
            </w:r>
            <w:r w:rsidRPr="000E62CC">
              <w:rPr>
                <w:sz w:val="28"/>
                <w:szCs w:val="28"/>
                <w:lang w:eastAsia="en-US"/>
              </w:rPr>
              <w:t>з/</w:t>
            </w:r>
            <w:proofErr w:type="gramStart"/>
            <w:r w:rsidRPr="000E62CC">
              <w:rPr>
                <w:sz w:val="28"/>
                <w:szCs w:val="28"/>
                <w:lang w:eastAsia="en-US"/>
              </w:rPr>
              <w:t>п</w:t>
            </w:r>
            <w:proofErr w:type="gramEnd"/>
          </w:p>
        </w:tc>
        <w:tc>
          <w:tcPr>
            <w:tcW w:w="3116" w:type="dxa"/>
            <w:vMerge w:val="restart"/>
            <w:tcBorders>
              <w:top w:val="single" w:sz="4" w:space="0" w:color="000000"/>
              <w:left w:val="single" w:sz="4" w:space="0" w:color="000000"/>
              <w:bottom w:val="single" w:sz="4" w:space="0" w:color="000000"/>
              <w:right w:val="nil"/>
            </w:tcBorders>
            <w:hideMark/>
          </w:tcPr>
          <w:p w:rsidR="00E16089" w:rsidRPr="000E62CC" w:rsidRDefault="00E16089" w:rsidP="008702C6">
            <w:pPr>
              <w:snapToGrid w:val="0"/>
              <w:jc w:val="center"/>
              <w:rPr>
                <w:lang w:val="uk-UA" w:eastAsia="en-US"/>
              </w:rPr>
            </w:pPr>
            <w:proofErr w:type="spellStart"/>
            <w:r w:rsidRPr="000E62CC">
              <w:rPr>
                <w:sz w:val="28"/>
                <w:szCs w:val="28"/>
                <w:lang w:eastAsia="en-US"/>
              </w:rPr>
              <w:t>Питання</w:t>
            </w:r>
            <w:proofErr w:type="spellEnd"/>
            <w:r w:rsidRPr="000E62CC">
              <w:rPr>
                <w:sz w:val="28"/>
                <w:szCs w:val="28"/>
                <w:lang w:eastAsia="en-US"/>
              </w:rPr>
              <w:t xml:space="preserve"> </w:t>
            </w:r>
            <w:proofErr w:type="spellStart"/>
            <w:r w:rsidRPr="000E62CC">
              <w:rPr>
                <w:sz w:val="28"/>
                <w:szCs w:val="28"/>
                <w:lang w:eastAsia="en-US"/>
              </w:rPr>
              <w:t>що</w:t>
            </w:r>
            <w:proofErr w:type="spellEnd"/>
            <w:r w:rsidRPr="000E62CC">
              <w:rPr>
                <w:sz w:val="28"/>
                <w:szCs w:val="28"/>
                <w:lang w:val="uk-UA" w:eastAsia="en-US"/>
              </w:rPr>
              <w:t xml:space="preserve">до дотримання суб’єктом господарювання вимог законодавства у сфері </w:t>
            </w:r>
            <w:r>
              <w:rPr>
                <w:sz w:val="28"/>
                <w:szCs w:val="28"/>
                <w:lang w:val="uk-UA" w:eastAsia="en-US"/>
              </w:rPr>
              <w:t>ветеринарної медицини</w:t>
            </w:r>
            <w:r w:rsidRPr="000E62CC">
              <w:rPr>
                <w:sz w:val="28"/>
                <w:szCs w:val="28"/>
                <w:lang w:eastAsia="en-US"/>
              </w:rPr>
              <w:t xml:space="preserve"> </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E16089" w:rsidRPr="000E62CC" w:rsidRDefault="00E16089" w:rsidP="008702C6">
            <w:pPr>
              <w:ind w:left="-105" w:right="-112"/>
              <w:jc w:val="center"/>
              <w:rPr>
                <w:lang w:eastAsia="en-US"/>
              </w:rPr>
            </w:pPr>
            <w:r w:rsidRPr="000E62CC">
              <w:rPr>
                <w:sz w:val="28"/>
                <w:szCs w:val="28"/>
                <w:lang w:val="uk-UA" w:eastAsia="en-US"/>
              </w:rPr>
              <w:t xml:space="preserve">Ступінь ризику суб’єкта </w:t>
            </w:r>
            <w:proofErr w:type="spellStart"/>
            <w:r w:rsidRPr="000E62CC">
              <w:rPr>
                <w:sz w:val="28"/>
                <w:szCs w:val="28"/>
                <w:lang w:val="uk-UA" w:eastAsia="en-US"/>
              </w:rPr>
              <w:t>господарю-вання</w:t>
            </w:r>
            <w:proofErr w:type="spellEnd"/>
          </w:p>
        </w:tc>
        <w:tc>
          <w:tcPr>
            <w:tcW w:w="2410" w:type="dxa"/>
            <w:gridSpan w:val="4"/>
            <w:tcBorders>
              <w:top w:val="single" w:sz="4" w:space="0" w:color="000000"/>
              <w:left w:val="single" w:sz="4" w:space="0" w:color="000000"/>
              <w:bottom w:val="single" w:sz="4" w:space="0" w:color="auto"/>
              <w:right w:val="nil"/>
            </w:tcBorders>
            <w:vAlign w:val="center"/>
            <w:hideMark/>
          </w:tcPr>
          <w:p w:rsidR="00E16089" w:rsidRPr="000E62CC" w:rsidRDefault="00E16089" w:rsidP="008702C6">
            <w:pPr>
              <w:snapToGrid w:val="0"/>
              <w:jc w:val="center"/>
              <w:rPr>
                <w:lang w:val="uk-UA" w:eastAsia="en-US"/>
              </w:rPr>
            </w:pPr>
            <w:r w:rsidRPr="000E62CC">
              <w:rPr>
                <w:sz w:val="28"/>
                <w:szCs w:val="28"/>
                <w:lang w:val="uk-UA" w:eastAsia="en-US"/>
              </w:rPr>
              <w:t>Відповіді на питання</w:t>
            </w:r>
          </w:p>
        </w:tc>
        <w:tc>
          <w:tcPr>
            <w:tcW w:w="1983" w:type="dxa"/>
            <w:vMerge w:val="restart"/>
            <w:tcBorders>
              <w:top w:val="single" w:sz="4" w:space="0" w:color="000000"/>
              <w:left w:val="single" w:sz="4" w:space="0" w:color="000000"/>
              <w:bottom w:val="single" w:sz="4" w:space="0" w:color="000000"/>
              <w:right w:val="single" w:sz="4" w:space="0" w:color="000000"/>
            </w:tcBorders>
            <w:hideMark/>
          </w:tcPr>
          <w:p w:rsidR="00E16089" w:rsidRPr="000E62CC" w:rsidRDefault="00E16089" w:rsidP="008702C6">
            <w:pPr>
              <w:snapToGrid w:val="0"/>
              <w:jc w:val="center"/>
              <w:rPr>
                <w:lang w:val="uk-UA" w:eastAsia="en-US"/>
              </w:rPr>
            </w:pPr>
            <w:proofErr w:type="spellStart"/>
            <w:r w:rsidRPr="000E62CC">
              <w:rPr>
                <w:sz w:val="28"/>
                <w:szCs w:val="28"/>
                <w:lang w:eastAsia="en-US"/>
              </w:rPr>
              <w:t>Нормативне</w:t>
            </w:r>
            <w:proofErr w:type="spellEnd"/>
            <w:r w:rsidRPr="000E62CC">
              <w:rPr>
                <w:sz w:val="28"/>
                <w:szCs w:val="28"/>
                <w:lang w:val="en-US" w:eastAsia="en-US"/>
              </w:rPr>
              <w:t xml:space="preserve"> </w:t>
            </w:r>
            <w:proofErr w:type="spellStart"/>
            <w:r w:rsidRPr="000E62CC">
              <w:rPr>
                <w:sz w:val="28"/>
                <w:szCs w:val="28"/>
                <w:lang w:eastAsia="en-US"/>
              </w:rPr>
              <w:t>обґрунтування</w:t>
            </w:r>
            <w:proofErr w:type="spellEnd"/>
          </w:p>
        </w:tc>
      </w:tr>
      <w:tr w:rsidR="00E16089" w:rsidRPr="000E62CC" w:rsidTr="008702C6">
        <w:trPr>
          <w:trHeight w:val="407"/>
        </w:trPr>
        <w:tc>
          <w:tcPr>
            <w:tcW w:w="851" w:type="dxa"/>
            <w:vMerge/>
            <w:tcBorders>
              <w:top w:val="single" w:sz="4" w:space="0" w:color="000000"/>
              <w:left w:val="single" w:sz="4" w:space="0" w:color="000000"/>
              <w:bottom w:val="single" w:sz="4" w:space="0" w:color="000000"/>
              <w:right w:val="nil"/>
            </w:tcBorders>
            <w:vAlign w:val="center"/>
            <w:hideMark/>
          </w:tcPr>
          <w:p w:rsidR="00E16089" w:rsidRPr="000E62CC" w:rsidRDefault="00E16089" w:rsidP="008702C6">
            <w:pPr>
              <w:rPr>
                <w:lang w:val="uk-UA" w:eastAsia="en-US"/>
              </w:rPr>
            </w:pPr>
          </w:p>
        </w:tc>
        <w:tc>
          <w:tcPr>
            <w:tcW w:w="3116" w:type="dxa"/>
            <w:vMerge/>
            <w:tcBorders>
              <w:top w:val="single" w:sz="4" w:space="0" w:color="000000"/>
              <w:left w:val="single" w:sz="4" w:space="0" w:color="000000"/>
              <w:bottom w:val="single" w:sz="4" w:space="0" w:color="000000"/>
              <w:right w:val="nil"/>
            </w:tcBorders>
            <w:vAlign w:val="center"/>
            <w:hideMark/>
          </w:tcPr>
          <w:p w:rsidR="00E16089" w:rsidRPr="000E62CC" w:rsidRDefault="00E16089" w:rsidP="008702C6">
            <w:pPr>
              <w:rPr>
                <w:lang w:val="uk-UA" w:eastAsia="en-US"/>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E16089" w:rsidRPr="000E62CC" w:rsidRDefault="00E16089" w:rsidP="008702C6">
            <w:pPr>
              <w:rPr>
                <w:lang w:eastAsia="en-US"/>
              </w:rPr>
            </w:pPr>
          </w:p>
        </w:tc>
        <w:tc>
          <w:tcPr>
            <w:tcW w:w="567" w:type="dxa"/>
            <w:tcBorders>
              <w:top w:val="single" w:sz="4" w:space="0" w:color="auto"/>
              <w:left w:val="single" w:sz="4" w:space="0" w:color="000000"/>
              <w:bottom w:val="single" w:sz="4" w:space="0" w:color="000000"/>
              <w:right w:val="nil"/>
            </w:tcBorders>
            <w:vAlign w:val="center"/>
            <w:hideMark/>
          </w:tcPr>
          <w:p w:rsidR="00E16089" w:rsidRPr="000E62CC" w:rsidRDefault="00381120" w:rsidP="008702C6">
            <w:pPr>
              <w:snapToGrid w:val="0"/>
              <w:spacing w:line="360" w:lineRule="auto"/>
              <w:ind w:left="-108" w:right="-67"/>
              <w:jc w:val="center"/>
              <w:rPr>
                <w:lang w:val="uk-UA" w:eastAsia="en-US"/>
              </w:rPr>
            </w:pPr>
            <w:r>
              <w:rPr>
                <w:sz w:val="28"/>
                <w:szCs w:val="28"/>
                <w:lang w:val="uk-UA" w:eastAsia="en-US"/>
              </w:rPr>
              <w:t>т</w:t>
            </w:r>
            <w:proofErr w:type="spellStart"/>
            <w:r w:rsidR="00E16089" w:rsidRPr="000E62CC">
              <w:rPr>
                <w:sz w:val="28"/>
                <w:szCs w:val="28"/>
                <w:lang w:eastAsia="en-US"/>
              </w:rPr>
              <w:t>ак</w:t>
            </w:r>
            <w:proofErr w:type="spellEnd"/>
          </w:p>
        </w:tc>
        <w:tc>
          <w:tcPr>
            <w:tcW w:w="709" w:type="dxa"/>
            <w:tcBorders>
              <w:top w:val="single" w:sz="4" w:space="0" w:color="auto"/>
              <w:left w:val="single" w:sz="4" w:space="0" w:color="000000"/>
              <w:bottom w:val="single" w:sz="4" w:space="0" w:color="000000"/>
              <w:right w:val="nil"/>
            </w:tcBorders>
            <w:vAlign w:val="center"/>
            <w:hideMark/>
          </w:tcPr>
          <w:p w:rsidR="00E16089" w:rsidRPr="000E62CC" w:rsidRDefault="00381120" w:rsidP="008702C6">
            <w:pPr>
              <w:snapToGrid w:val="0"/>
              <w:spacing w:line="360" w:lineRule="auto"/>
              <w:ind w:left="-108" w:right="-108"/>
              <w:jc w:val="center"/>
              <w:rPr>
                <w:lang w:val="uk-UA" w:eastAsia="en-US"/>
              </w:rPr>
            </w:pPr>
            <w:r>
              <w:rPr>
                <w:sz w:val="28"/>
                <w:szCs w:val="28"/>
                <w:lang w:val="uk-UA" w:eastAsia="en-US"/>
              </w:rPr>
              <w:t>н</w:t>
            </w:r>
            <w:r w:rsidR="00E16089" w:rsidRPr="000E62CC">
              <w:rPr>
                <w:sz w:val="28"/>
                <w:szCs w:val="28"/>
                <w:lang w:eastAsia="en-US"/>
              </w:rPr>
              <w:t>і</w:t>
            </w:r>
          </w:p>
        </w:tc>
        <w:tc>
          <w:tcPr>
            <w:tcW w:w="567" w:type="dxa"/>
            <w:tcBorders>
              <w:top w:val="single" w:sz="4" w:space="0" w:color="auto"/>
              <w:left w:val="single" w:sz="4" w:space="0" w:color="000000"/>
              <w:bottom w:val="single" w:sz="4" w:space="0" w:color="000000"/>
              <w:right w:val="nil"/>
            </w:tcBorders>
            <w:vAlign w:val="center"/>
            <w:hideMark/>
          </w:tcPr>
          <w:p w:rsidR="00E16089" w:rsidRPr="000E62CC" w:rsidRDefault="00E16089" w:rsidP="008702C6">
            <w:pPr>
              <w:snapToGrid w:val="0"/>
              <w:spacing w:line="360" w:lineRule="auto"/>
              <w:ind w:left="-108" w:right="-107"/>
              <w:jc w:val="center"/>
              <w:rPr>
                <w:lang w:val="uk-UA" w:eastAsia="en-US"/>
              </w:rPr>
            </w:pPr>
            <w:r w:rsidRPr="000E62CC">
              <w:rPr>
                <w:sz w:val="28"/>
                <w:szCs w:val="28"/>
                <w:lang w:eastAsia="en-US"/>
              </w:rPr>
              <w:t>НВ</w:t>
            </w:r>
          </w:p>
        </w:tc>
        <w:tc>
          <w:tcPr>
            <w:tcW w:w="567" w:type="dxa"/>
            <w:tcBorders>
              <w:top w:val="single" w:sz="4" w:space="0" w:color="auto"/>
              <w:left w:val="single" w:sz="4" w:space="0" w:color="000000"/>
              <w:bottom w:val="single" w:sz="4" w:space="0" w:color="000000"/>
              <w:right w:val="nil"/>
            </w:tcBorders>
            <w:vAlign w:val="center"/>
            <w:hideMark/>
          </w:tcPr>
          <w:p w:rsidR="00E16089" w:rsidRPr="000E62CC" w:rsidRDefault="00E16089" w:rsidP="008702C6">
            <w:pPr>
              <w:snapToGrid w:val="0"/>
              <w:spacing w:line="360" w:lineRule="auto"/>
              <w:ind w:left="-108" w:right="-108"/>
              <w:jc w:val="center"/>
              <w:rPr>
                <w:lang w:val="uk-UA" w:eastAsia="en-US"/>
              </w:rPr>
            </w:pPr>
            <w:r w:rsidRPr="000E62CC">
              <w:rPr>
                <w:sz w:val="28"/>
                <w:szCs w:val="28"/>
                <w:lang w:eastAsia="en-US"/>
              </w:rPr>
              <w:t>Н</w:t>
            </w:r>
            <w:r w:rsidRPr="000E62CC">
              <w:rPr>
                <w:sz w:val="28"/>
                <w:szCs w:val="28"/>
                <w:lang w:val="uk-UA" w:eastAsia="en-US"/>
              </w:rPr>
              <w:t>Р</w:t>
            </w: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E16089" w:rsidRPr="000E62CC" w:rsidRDefault="00E16089" w:rsidP="008702C6">
            <w:pPr>
              <w:rPr>
                <w:lang w:val="uk-UA" w:eastAsia="en-US"/>
              </w:rPr>
            </w:pP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hideMark/>
          </w:tcPr>
          <w:p w:rsidR="00E16089" w:rsidRPr="000E62CC" w:rsidRDefault="00E16089" w:rsidP="008702C6">
            <w:pPr>
              <w:snapToGrid w:val="0"/>
              <w:spacing w:line="360" w:lineRule="auto"/>
              <w:jc w:val="center"/>
              <w:rPr>
                <w:lang w:val="uk-UA" w:eastAsia="en-US"/>
              </w:rPr>
            </w:pPr>
            <w:r w:rsidRPr="000E62CC">
              <w:rPr>
                <w:sz w:val="28"/>
                <w:szCs w:val="28"/>
                <w:lang w:val="uk-UA" w:eastAsia="en-US"/>
              </w:rPr>
              <w:t>1</w:t>
            </w:r>
          </w:p>
        </w:tc>
        <w:tc>
          <w:tcPr>
            <w:tcW w:w="3116" w:type="dxa"/>
            <w:tcBorders>
              <w:top w:val="single" w:sz="4" w:space="0" w:color="auto"/>
              <w:left w:val="single" w:sz="4" w:space="0" w:color="000000"/>
              <w:bottom w:val="single" w:sz="4" w:space="0" w:color="auto"/>
              <w:right w:val="single" w:sz="4" w:space="0" w:color="auto"/>
            </w:tcBorders>
            <w:hideMark/>
          </w:tcPr>
          <w:p w:rsidR="00E16089" w:rsidRPr="000E62CC"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0E62CC">
              <w:rPr>
                <w:bCs/>
                <w:sz w:val="28"/>
                <w:szCs w:val="28"/>
                <w:lang w:val="uk-UA"/>
              </w:rPr>
              <w:t>2</w:t>
            </w:r>
          </w:p>
        </w:tc>
        <w:tc>
          <w:tcPr>
            <w:tcW w:w="1420" w:type="dxa"/>
            <w:tcBorders>
              <w:top w:val="single" w:sz="4" w:space="0" w:color="auto"/>
              <w:left w:val="single" w:sz="4" w:space="0" w:color="000000"/>
              <w:bottom w:val="single" w:sz="4" w:space="0" w:color="auto"/>
              <w:right w:val="single" w:sz="4" w:space="0" w:color="000000"/>
            </w:tcBorders>
            <w:hideMark/>
          </w:tcPr>
          <w:p w:rsidR="00E16089" w:rsidRPr="000E62CC"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E62CC">
              <w:rPr>
                <w:sz w:val="28"/>
                <w:szCs w:val="28"/>
                <w:lang w:val="uk-UA"/>
              </w:rPr>
              <w:t>3</w:t>
            </w:r>
          </w:p>
        </w:tc>
        <w:tc>
          <w:tcPr>
            <w:tcW w:w="567" w:type="dxa"/>
            <w:tcBorders>
              <w:top w:val="single" w:sz="4" w:space="0" w:color="auto"/>
              <w:left w:val="single" w:sz="4" w:space="0" w:color="000000"/>
              <w:bottom w:val="single" w:sz="4" w:space="0" w:color="auto"/>
              <w:right w:val="single" w:sz="4" w:space="0" w:color="auto"/>
            </w:tcBorders>
            <w:hideMark/>
          </w:tcPr>
          <w:p w:rsidR="00E16089" w:rsidRPr="000E62CC"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0E62CC">
              <w:rPr>
                <w:bCs/>
                <w:sz w:val="28"/>
                <w:szCs w:val="28"/>
                <w:lang w:val="uk-UA"/>
              </w:rPr>
              <w:t>4</w:t>
            </w:r>
          </w:p>
        </w:tc>
        <w:tc>
          <w:tcPr>
            <w:tcW w:w="709" w:type="dxa"/>
            <w:tcBorders>
              <w:top w:val="single" w:sz="4" w:space="0" w:color="auto"/>
              <w:left w:val="single" w:sz="4" w:space="0" w:color="000000"/>
              <w:bottom w:val="single" w:sz="4" w:space="0" w:color="auto"/>
              <w:right w:val="single" w:sz="4" w:space="0" w:color="auto"/>
            </w:tcBorders>
            <w:hideMark/>
          </w:tcPr>
          <w:p w:rsidR="00E16089" w:rsidRPr="000E62CC"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0E62CC">
              <w:rPr>
                <w:bCs/>
                <w:sz w:val="28"/>
                <w:szCs w:val="28"/>
                <w:lang w:val="uk-UA"/>
              </w:rPr>
              <w:t>5</w:t>
            </w:r>
          </w:p>
        </w:tc>
        <w:tc>
          <w:tcPr>
            <w:tcW w:w="567" w:type="dxa"/>
            <w:tcBorders>
              <w:top w:val="single" w:sz="4" w:space="0" w:color="auto"/>
              <w:left w:val="single" w:sz="4" w:space="0" w:color="000000"/>
              <w:bottom w:val="single" w:sz="4" w:space="0" w:color="auto"/>
              <w:right w:val="single" w:sz="4" w:space="0" w:color="auto"/>
            </w:tcBorders>
            <w:hideMark/>
          </w:tcPr>
          <w:p w:rsidR="00E16089" w:rsidRPr="000E62CC"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0E62CC">
              <w:rPr>
                <w:bCs/>
                <w:sz w:val="28"/>
                <w:szCs w:val="28"/>
                <w:lang w:val="uk-UA"/>
              </w:rPr>
              <w:t>6</w:t>
            </w:r>
          </w:p>
        </w:tc>
        <w:tc>
          <w:tcPr>
            <w:tcW w:w="567" w:type="dxa"/>
            <w:tcBorders>
              <w:top w:val="single" w:sz="4" w:space="0" w:color="auto"/>
              <w:left w:val="single" w:sz="4" w:space="0" w:color="000000"/>
              <w:bottom w:val="single" w:sz="4" w:space="0" w:color="auto"/>
              <w:right w:val="single" w:sz="4" w:space="0" w:color="auto"/>
            </w:tcBorders>
            <w:hideMark/>
          </w:tcPr>
          <w:p w:rsidR="00E16089" w:rsidRPr="000E62CC"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0E62CC">
              <w:rPr>
                <w:bCs/>
                <w:sz w:val="28"/>
                <w:szCs w:val="28"/>
                <w:lang w:val="uk-UA"/>
              </w:rPr>
              <w:t>7</w:t>
            </w:r>
          </w:p>
        </w:tc>
        <w:tc>
          <w:tcPr>
            <w:tcW w:w="1983" w:type="dxa"/>
            <w:tcBorders>
              <w:top w:val="single" w:sz="4" w:space="0" w:color="auto"/>
              <w:left w:val="single" w:sz="4" w:space="0" w:color="000000"/>
              <w:bottom w:val="single" w:sz="4" w:space="0" w:color="auto"/>
              <w:right w:val="single" w:sz="4" w:space="0" w:color="auto"/>
            </w:tcBorders>
            <w:hideMark/>
          </w:tcPr>
          <w:p w:rsidR="00E16089" w:rsidRPr="000E62CC"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0E62CC">
              <w:rPr>
                <w:bCs/>
                <w:sz w:val="28"/>
                <w:szCs w:val="28"/>
                <w:lang w:val="uk-UA"/>
              </w:rPr>
              <w:t>8</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E16089" w:rsidP="00F830F3">
            <w:pPr>
              <w:rPr>
                <w:lang w:val="uk-UA"/>
              </w:rPr>
            </w:pPr>
            <w:r w:rsidRPr="00F830F3">
              <w:rPr>
                <w:lang w:val="uk-UA"/>
              </w:rPr>
              <w:t>1</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381120">
            <w:pPr>
              <w:jc w:val="both"/>
              <w:rPr>
                <w:lang w:val="uk-UA"/>
              </w:rPr>
            </w:pPr>
            <w:r w:rsidRPr="00F830F3">
              <w:rPr>
                <w:lang w:val="uk-UA" w:eastAsia="uk-UA"/>
              </w:rPr>
              <w:t>Розроблен</w:t>
            </w:r>
            <w:r w:rsidR="00381120">
              <w:rPr>
                <w:lang w:val="uk-UA" w:eastAsia="uk-UA"/>
              </w:rPr>
              <w:t>о</w:t>
            </w:r>
            <w:r w:rsidRPr="00F830F3">
              <w:rPr>
                <w:lang w:val="uk-UA" w:eastAsia="uk-UA"/>
              </w:rPr>
              <w:t>, впроваджен</w:t>
            </w:r>
            <w:r w:rsidR="00381120">
              <w:rPr>
                <w:lang w:val="uk-UA" w:eastAsia="uk-UA"/>
              </w:rPr>
              <w:t>о</w:t>
            </w:r>
            <w:r w:rsidRPr="00F830F3">
              <w:rPr>
                <w:lang w:val="uk-UA" w:eastAsia="uk-UA"/>
              </w:rPr>
              <w:t xml:space="preserve"> та застосовуються постійно діючі процедури, засновані на принципах системи аналізу небезпечних факторів та контролю у критичних точках, а також забезпечується належна підготовка осіб, відповідальних за постійно діючі процедури під час оброблення, переробки побічних продуктів тваринного походження</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spacing w:before="100" w:beforeAutospacing="1" w:after="100" w:afterAutospacing="1"/>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spacing w:before="100" w:beforeAutospacing="1" w:after="100" w:afterAutospacing="1"/>
              <w:rPr>
                <w:lang w:val="uk-UA"/>
              </w:rPr>
            </w:pPr>
            <w:r w:rsidRPr="00F830F3">
              <w:rPr>
                <w:lang w:val="uk-UA"/>
              </w:rPr>
              <w:t xml:space="preserve">Пункт 2 частини першої статті 20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2</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r w:rsidRPr="00F830F3">
              <w:rPr>
                <w:lang w:val="uk-UA" w:eastAsia="uk-UA"/>
              </w:rPr>
              <w:t>Для визначення категорій, до яких належать побічні продукти тваринного походження, залучаються спеціалісти ветеринарної медицини</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3 частини першої статті 20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3</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eastAsia="uk-UA"/>
              </w:rPr>
              <w:t>У разі завдання юридичним, фізичним особам збитків</w:t>
            </w:r>
            <w:r w:rsidR="00381120">
              <w:rPr>
                <w:lang w:val="uk-UA" w:eastAsia="uk-UA"/>
              </w:rPr>
              <w:t>,</w:t>
            </w:r>
            <w:r w:rsidRPr="00F830F3">
              <w:rPr>
                <w:lang w:val="uk-UA" w:eastAsia="uk-UA"/>
              </w:rPr>
              <w:t xml:space="preserve"> завданих внаслідок порушення встановлених правил поводження з побічними </w:t>
            </w:r>
            <w:r w:rsidRPr="00F830F3">
              <w:rPr>
                <w:lang w:val="uk-UA" w:eastAsia="uk-UA"/>
              </w:rPr>
              <w:lastRenderedPageBreak/>
              <w:t>продуктами тваринного походження</w:t>
            </w:r>
            <w:r w:rsidR="00381120">
              <w:rPr>
                <w:lang w:val="uk-UA" w:eastAsia="uk-UA"/>
              </w:rPr>
              <w:t>,</w:t>
            </w:r>
            <w:r w:rsidRPr="00F830F3">
              <w:rPr>
                <w:lang w:val="uk-UA" w:eastAsia="uk-UA"/>
              </w:rPr>
              <w:t xml:space="preserve"> проводиться їх відшкодування</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lastRenderedPageBreak/>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4 частини першої статті 20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lastRenderedPageBreak/>
              <w:t>4</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eastAsia="uk-UA"/>
              </w:rPr>
              <w:t>Факт виконання робіт з оброблення, переробки, утилізації побічних продуктів тваринного походження на власних потужностях (об’єктах) з оброблення, переробки побічних продуктів тваринного походження фіксується із складенням акта виконаних робіт</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Абзаци третій, четвертий пункту 5 частини першої статті 20 </w:t>
            </w:r>
            <w:r w:rsidRPr="00F830F3">
              <w:rPr>
                <w:lang w:val="uk-UA" w:eastAsia="uk-UA"/>
              </w:rPr>
              <w:t>ЗУ </w:t>
            </w:r>
            <w:r w:rsidRPr="00F830F3">
              <w:rPr>
                <w:lang w:val="uk-UA"/>
              </w:rPr>
              <w:t>№ 287-VІІІ</w:t>
            </w:r>
          </w:p>
        </w:tc>
      </w:tr>
      <w:tr w:rsidR="00E16089" w:rsidRPr="000D285B"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5</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381120" w:rsidP="00381120">
            <w:pPr>
              <w:rPr>
                <w:lang w:val="uk-UA"/>
              </w:rPr>
            </w:pPr>
            <w:r>
              <w:rPr>
                <w:lang w:val="uk-UA" w:eastAsia="uk-UA"/>
              </w:rPr>
              <w:t>Створено</w:t>
            </w:r>
            <w:r w:rsidR="00E16089" w:rsidRPr="00F830F3">
              <w:rPr>
                <w:lang w:val="uk-UA" w:eastAsia="uk-UA"/>
              </w:rPr>
              <w:t xml:space="preserve"> належні санітарні умови на потужності (об’єкті) з оброблення, переробки побічних продуктів тваринного походження під час поводження з такими продуктами та роздільне збирання </w:t>
            </w:r>
            <w:r>
              <w:rPr>
                <w:lang w:val="uk-UA" w:eastAsia="uk-UA"/>
              </w:rPr>
              <w:t>ц</w:t>
            </w:r>
            <w:r w:rsidR="00E16089" w:rsidRPr="00F830F3">
              <w:rPr>
                <w:lang w:val="uk-UA" w:eastAsia="uk-UA"/>
              </w:rPr>
              <w:t>их продуктів</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Абзац п’ятий пункту 5 частини першої статті 20 </w:t>
            </w:r>
            <w:r w:rsidRPr="00F830F3">
              <w:rPr>
                <w:lang w:val="uk-UA" w:eastAsia="uk-UA"/>
              </w:rPr>
              <w:t>ЗУ </w:t>
            </w:r>
            <w:r w:rsidRPr="00F830F3">
              <w:rPr>
                <w:lang w:val="uk-UA"/>
              </w:rPr>
              <w:t>№ 287-VІІІ</w:t>
            </w:r>
          </w:p>
        </w:tc>
      </w:tr>
      <w:tr w:rsidR="00E16089" w:rsidRPr="000D285B"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6</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eastAsia="uk-UA"/>
              </w:rPr>
              <w:t>Ведеться облік та надання центральному органу виконавчої влади, що реалізує державну політику у галузі ветеринарної медицини, інформації про кількість і якість утворюваних побічних продуктів тваринного походження та відповідно до їх категорії</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Абзац</w:t>
            </w:r>
            <w:r w:rsidR="00381120">
              <w:rPr>
                <w:lang w:val="uk-UA"/>
              </w:rPr>
              <w:t>и</w:t>
            </w:r>
            <w:r w:rsidRPr="00F830F3">
              <w:rPr>
                <w:lang w:val="uk-UA"/>
              </w:rPr>
              <w:t xml:space="preserve"> шостий, сьомий пункту 5 частини першої статті 20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7</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eastAsia="uk-UA"/>
              </w:rPr>
              <w:t>Забезпечено якість продукції та достовірність інформації, що надається споживачу, а також відповідність такої інформації вимогам законодавства</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Абзац восьмий пункту 5 частини першої статті 20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8</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Забезпечено належне поводження з небезпечними побічними продуктами тваринного походження, що не підлягають утилізації</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6 частини першої статті 20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9</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Перевезення побічних продуктів тваринного походження здійснюється транспортними засобами та герметичними </w:t>
            </w:r>
            <w:r w:rsidRPr="00F830F3">
              <w:rPr>
                <w:lang w:val="uk-UA"/>
              </w:rPr>
              <w:lastRenderedPageBreak/>
              <w:t>контейнерами, які унеможливлюють витік рідин від таких продуктів, доступ птахів, тварин, гризунів та мають конструкцію, що забезпечує ефективне очищення та дезінфекцію</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lastRenderedPageBreak/>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шоста статті 20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lastRenderedPageBreak/>
              <w:t>10</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r w:rsidRPr="00F830F3">
              <w:rPr>
                <w:lang w:val="uk-UA"/>
              </w:rPr>
              <w:t>Потужності відповідають ветеринарно-санітарним вимогам</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перша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E16089" w:rsidP="00F830F3">
            <w:pPr>
              <w:rPr>
                <w:lang w:val="uk-UA"/>
              </w:rPr>
            </w:pPr>
            <w:r w:rsidRPr="00F830F3">
              <w:rPr>
                <w:lang w:val="uk-UA"/>
              </w:rPr>
              <w:t>11</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Потужність (об’єкт) з оброблення, переробки побічних продуктів тваринного походження має виробничі, складські приміщення, інженерне забезпечення з </w:t>
            </w:r>
            <w:proofErr w:type="spellStart"/>
            <w:r w:rsidRPr="00F830F3">
              <w:rPr>
                <w:lang w:val="uk-UA"/>
              </w:rPr>
              <w:t>газо-</w:t>
            </w:r>
            <w:proofErr w:type="spellEnd"/>
            <w:r w:rsidRPr="00F830F3">
              <w:rPr>
                <w:lang w:val="uk-UA"/>
              </w:rPr>
              <w:t xml:space="preserve">, </w:t>
            </w:r>
            <w:proofErr w:type="spellStart"/>
            <w:r w:rsidRPr="00F830F3">
              <w:rPr>
                <w:lang w:val="uk-UA"/>
              </w:rPr>
              <w:t>електро-</w:t>
            </w:r>
            <w:proofErr w:type="spellEnd"/>
            <w:r w:rsidRPr="00F830F3">
              <w:rPr>
                <w:lang w:val="uk-UA"/>
              </w:rPr>
              <w:t>, водопостачання, водовідведення, очисні споруди та іншу необхідну інфраструктуру</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друга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12</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381120">
            <w:pPr>
              <w:rPr>
                <w:lang w:val="uk-UA"/>
              </w:rPr>
            </w:pPr>
            <w:r w:rsidRPr="00F830F3">
              <w:rPr>
                <w:lang w:val="uk-UA"/>
              </w:rPr>
              <w:t>Потужність розміщен</w:t>
            </w:r>
            <w:r w:rsidR="00381120">
              <w:rPr>
                <w:lang w:val="uk-UA"/>
              </w:rPr>
              <w:t>о</w:t>
            </w:r>
            <w:r w:rsidRPr="00F830F3">
              <w:rPr>
                <w:lang w:val="uk-UA"/>
              </w:rPr>
              <w:t xml:space="preserve"> окремо від бійні або інших підприємств, на яких переробляються харчові продукти чи виробляються продукти тваринного походження</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1 частини третьої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13</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r w:rsidRPr="00F830F3">
              <w:rPr>
                <w:lang w:val="uk-UA"/>
              </w:rPr>
              <w:t>Потужність забезпечено технологічним обладнанням, спеціалізованим транспортом, що гарантує заявлений обсяг оброблення, переробки відповідно до ветеринарно-санітарних вимог</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2 частини третьої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14</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jc w:val="both"/>
              <w:rPr>
                <w:lang w:val="uk-UA"/>
              </w:rPr>
            </w:pPr>
            <w:r w:rsidRPr="00F830F3">
              <w:rPr>
                <w:lang w:val="uk-UA"/>
              </w:rPr>
              <w:t>Потужності забезпечено кваліфікованим персоналом</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3 частини третьої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8702C6">
            <w:pPr>
              <w:rPr>
                <w:lang w:val="uk-UA"/>
              </w:rPr>
            </w:pPr>
            <w:r w:rsidRPr="00F830F3">
              <w:rPr>
                <w:lang w:val="uk-UA"/>
              </w:rPr>
              <w:t>15</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Потужність (об’єкт) з оброблення, переробки побічних продуктів тваринного походження, що належать до категорії III, відокремлено від потужностей (об’єктів) з оброблення, переробки побічних продуктів </w:t>
            </w:r>
            <w:r w:rsidRPr="00F830F3">
              <w:rPr>
                <w:lang w:val="uk-UA"/>
              </w:rPr>
              <w:lastRenderedPageBreak/>
              <w:t>тваринного походження, що належать до категорій I і II</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lastRenderedPageBreak/>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четверта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ight="-108"/>
              <w:rPr>
                <w:lang w:val="uk-UA"/>
              </w:rPr>
            </w:pPr>
            <w:r>
              <w:rPr>
                <w:lang w:val="uk-UA"/>
              </w:rPr>
              <w:lastRenderedPageBreak/>
              <w:t xml:space="preserve"> 16</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381120">
            <w:pPr>
              <w:rPr>
                <w:lang w:val="uk-UA"/>
              </w:rPr>
            </w:pPr>
            <w:r w:rsidRPr="00F830F3">
              <w:rPr>
                <w:lang w:val="uk-UA"/>
              </w:rPr>
              <w:t>Розташування будівель, споруд, інших засобів на території потужності (об’єкт</w:t>
            </w:r>
            <w:r w:rsidR="00381120">
              <w:rPr>
                <w:lang w:val="uk-UA"/>
              </w:rPr>
              <w:t>а</w:t>
            </w:r>
            <w:r w:rsidRPr="00F830F3">
              <w:rPr>
                <w:lang w:val="uk-UA"/>
              </w:rPr>
              <w:t>) забезпечує можливість переміщення транспортних засобів таким чином, щоб шляхи перевезення побічних продуктів тваринного походження і продуктів оброблення, переробки побічних продуктів тваринного походження не перетиналися</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п’ята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17</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381120">
            <w:pPr>
              <w:rPr>
                <w:lang w:val="uk-UA"/>
              </w:rPr>
            </w:pPr>
            <w:r w:rsidRPr="00F830F3">
              <w:rPr>
                <w:lang w:val="uk-UA"/>
              </w:rPr>
              <w:t>Розміщення потужності (об’єкт</w:t>
            </w:r>
            <w:r w:rsidR="00381120">
              <w:rPr>
                <w:lang w:val="uk-UA"/>
              </w:rPr>
              <w:t>а</w:t>
            </w:r>
            <w:r w:rsidRPr="00F830F3">
              <w:rPr>
                <w:lang w:val="uk-UA"/>
              </w:rPr>
              <w:t>) здійснено з дотриманням усіх вимог щодо планування і забудови, санітарно-захисних зон відповідно до законодавства</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шоста статті 21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18</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Оператор ринку на всіх стадіях утворення та обігу побічних продуктів тваринного походження забезпечує </w:t>
            </w:r>
            <w:proofErr w:type="spellStart"/>
            <w:r w:rsidRPr="00F830F3">
              <w:rPr>
                <w:lang w:val="uk-UA"/>
              </w:rPr>
              <w:t>простежуваність</w:t>
            </w:r>
            <w:proofErr w:type="spellEnd"/>
            <w:r w:rsidRPr="00F830F3">
              <w:rPr>
                <w:lang w:val="uk-UA"/>
              </w:rPr>
              <w:t xml:space="preserve"> таких продуктів</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перша статті 22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19</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Оператор ринку, що здійснює поводження з побічними продуктами тваринного походження,  веде облік таких продуктів і супровідну документацію</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друга статті 22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20</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Документація, якою супроводжуються побічні продукти тваринного походження або продукти оброблення, переробки побічних продуктів тваринного походження під час перевезення, включає інформацію про походження, пункт призначення, кількість та категорію таких продуктів, їх опис та маркування відповідно до законодавства</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третя статті 22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lastRenderedPageBreak/>
              <w:t xml:space="preserve"> </w:t>
            </w:r>
            <w:r w:rsidR="00F830F3" w:rsidRPr="00F830F3">
              <w:rPr>
                <w:lang w:val="uk-UA"/>
              </w:rPr>
              <w:t>21</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Оператор ринку має змогу встановити інших операторів ринку, які постачають йому побічні продукти тваринного походження та продукти оброблення, переробки побічних продуктів тваринного походження </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четверта статті 22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22</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Оператор ринку має змогу встановити оператора ринку, до якого направляються побічні продукти тваринного походження </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п’ята статті 22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23</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Продукти оброблення, переробки побічних продуктів тваринного походження, що вводяться в обіг, марковані відповідно до вимог законодавства</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шоста статті 22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24</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Під час оброблення, переробки побічних продуктів тваринного походження оператор ринку проводить внутрішню перевірку та складає відповідний акт, заснований на принципах системи аналізу ризиків у критичних контрольних точках </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1 частини першої статті 23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25</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Під час перетворення побічних продуктів тваринного походження на біогаз чи компост оператор ринку проводить внутрішню перевірку та складає відповідний акт, заснований на принципах системи аналізу ризиків у критичних контрольних точках</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Пункт 2 частини першої статті 23 </w:t>
            </w:r>
            <w:r w:rsidRPr="00F830F3">
              <w:rPr>
                <w:lang w:val="uk-UA" w:eastAsia="uk-UA"/>
              </w:rPr>
              <w:t>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26</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9300D3">
            <w:pPr>
              <w:rPr>
                <w:lang w:val="uk-UA"/>
              </w:rPr>
            </w:pPr>
            <w:r w:rsidRPr="00F830F3">
              <w:rPr>
                <w:lang w:val="uk-UA"/>
              </w:rPr>
              <w:t>Вимога щодо недопущення переміщення за межі потужності (об’єкт</w:t>
            </w:r>
            <w:r w:rsidR="000E061A">
              <w:rPr>
                <w:lang w:val="uk-UA"/>
              </w:rPr>
              <w:t>а</w:t>
            </w:r>
            <w:r w:rsidRPr="00F830F3">
              <w:rPr>
                <w:lang w:val="uk-UA"/>
              </w:rPr>
              <w:t>)</w:t>
            </w:r>
            <w:r w:rsidR="009300D3">
              <w:rPr>
                <w:lang w:val="uk-UA"/>
              </w:rPr>
              <w:t xml:space="preserve"> побічних продуктів</w:t>
            </w:r>
            <w:r w:rsidRPr="00F830F3">
              <w:rPr>
                <w:lang w:val="uk-UA"/>
              </w:rPr>
              <w:t xml:space="preserve"> тваринного походження та продуктів оброблення, переробки побічних продуктів тваринного походження, які не </w:t>
            </w:r>
            <w:r w:rsidRPr="00F830F3">
              <w:rPr>
                <w:lang w:val="uk-UA"/>
              </w:rPr>
              <w:lastRenderedPageBreak/>
              <w:t>відповідають вимогам законодавства, крім випадків, коли це здійснюється з метою їх видалення, дотримується</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lastRenderedPageBreak/>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 xml:space="preserve">Частина друга статті 23 </w:t>
            </w:r>
            <w:r w:rsidRPr="00F830F3">
              <w:rPr>
                <w:lang w:val="uk-UA" w:eastAsia="uk-UA"/>
              </w:rPr>
              <w:t xml:space="preserve">ЗУ </w:t>
            </w:r>
            <w:r w:rsidRPr="00F830F3">
              <w:rPr>
                <w:lang w:val="uk-UA"/>
              </w:rPr>
              <w:t>№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F830F3" w:rsidP="00F830F3">
            <w:pPr>
              <w:rPr>
                <w:lang w:val="uk-UA"/>
              </w:rPr>
            </w:pPr>
            <w:r w:rsidRPr="00F830F3">
              <w:rPr>
                <w:lang w:val="uk-UA"/>
              </w:rPr>
              <w:lastRenderedPageBreak/>
              <w:t>27</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Оператор ринку виявляє будь-які ризики для здоров’я людини та тварини, які мають бути усунені або зменшені до прийнятного рівня та яким треба запобігти</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Пункт 1 частини третьої статті 23 ЗУ №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28</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Для запобігання або усунення небезпеки або її зменшення до прийнятного рівня оператор ринку виявляє критичні контрольні точки на етапах чи операціях, на яких контроль є необхідним</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Пункт 2 частини третьої статті 23 ЗУ №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29</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Оператор ринку вживає коригувальні дії, якщо за результатами проведення моніторингу на виробництві визначено, що критична контрольна точка не перебуває під контролем</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Пункт 3 частини третьої статті 23 ЗУ №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30</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0E061A">
            <w:pPr>
              <w:rPr>
                <w:lang w:val="uk-UA"/>
              </w:rPr>
            </w:pPr>
            <w:r w:rsidRPr="00F830F3">
              <w:rPr>
                <w:lang w:val="uk-UA"/>
              </w:rPr>
              <w:t>З метою підтвердження ефективності заходів оператор ринку провод</w:t>
            </w:r>
            <w:r w:rsidR="000E061A">
              <w:rPr>
                <w:lang w:val="uk-UA"/>
              </w:rPr>
              <w:t>и</w:t>
            </w:r>
            <w:r w:rsidRPr="00F830F3">
              <w:rPr>
                <w:lang w:val="uk-UA"/>
              </w:rPr>
              <w:t>ть перевірки та склада</w:t>
            </w:r>
            <w:r w:rsidR="000E061A">
              <w:rPr>
                <w:lang w:val="uk-UA"/>
              </w:rPr>
              <w:t>є</w:t>
            </w:r>
            <w:r w:rsidRPr="00F830F3">
              <w:rPr>
                <w:lang w:val="uk-UA"/>
              </w:rPr>
              <w:t xml:space="preserve"> відповідні акти</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Пункт 4 частини третьої статті 23 ЗУ № 287-VІІІ</w:t>
            </w:r>
          </w:p>
        </w:tc>
      </w:tr>
      <w:tr w:rsidR="00E16089" w:rsidRPr="000E62CC" w:rsidTr="008702C6">
        <w:trPr>
          <w:trHeight w:val="399"/>
        </w:trPr>
        <w:tc>
          <w:tcPr>
            <w:tcW w:w="851" w:type="dxa"/>
            <w:tcBorders>
              <w:top w:val="single" w:sz="4" w:space="0" w:color="000000"/>
              <w:left w:val="single" w:sz="4" w:space="0" w:color="000000"/>
              <w:bottom w:val="single" w:sz="4" w:space="0" w:color="000000"/>
              <w:right w:val="nil"/>
            </w:tcBorders>
          </w:tcPr>
          <w:p w:rsidR="00E16089" w:rsidRPr="00F830F3" w:rsidRDefault="000E061A" w:rsidP="008702C6">
            <w:pPr>
              <w:ind w:left="-108"/>
              <w:rPr>
                <w:lang w:val="uk-UA"/>
              </w:rPr>
            </w:pPr>
            <w:r>
              <w:rPr>
                <w:lang w:val="uk-UA"/>
              </w:rPr>
              <w:t xml:space="preserve"> </w:t>
            </w:r>
            <w:r w:rsidR="00F830F3" w:rsidRPr="00F830F3">
              <w:rPr>
                <w:lang w:val="uk-UA"/>
              </w:rPr>
              <w:t>31</w:t>
            </w:r>
          </w:p>
        </w:tc>
        <w:tc>
          <w:tcPr>
            <w:tcW w:w="3116" w:type="dxa"/>
            <w:tcBorders>
              <w:top w:val="single" w:sz="4" w:space="0" w:color="auto"/>
              <w:left w:val="single" w:sz="4" w:space="0" w:color="000000"/>
              <w:bottom w:val="single" w:sz="4" w:space="0" w:color="auto"/>
              <w:right w:val="single" w:sz="4" w:space="0" w:color="auto"/>
            </w:tcBorders>
          </w:tcPr>
          <w:p w:rsidR="00E16089" w:rsidRPr="00F830F3" w:rsidRDefault="00E16089" w:rsidP="000E061A">
            <w:pPr>
              <w:rPr>
                <w:lang w:val="uk-UA"/>
              </w:rPr>
            </w:pPr>
            <w:r w:rsidRPr="00F830F3">
              <w:rPr>
                <w:lang w:val="uk-UA"/>
              </w:rPr>
              <w:t>Оператор потужності (об’єкт</w:t>
            </w:r>
            <w:r w:rsidR="000E061A">
              <w:rPr>
                <w:lang w:val="uk-UA"/>
              </w:rPr>
              <w:t>а</w:t>
            </w:r>
            <w:r w:rsidRPr="00F830F3">
              <w:rPr>
                <w:lang w:val="uk-UA"/>
              </w:rPr>
              <w:t>) веде та зберігає відповідні записи, які дають можливість відстежувати закуплену ним сировину та продаж виробленої ним продукції протягом останніх трьох років</w:t>
            </w:r>
          </w:p>
        </w:tc>
        <w:tc>
          <w:tcPr>
            <w:tcW w:w="1420" w:type="dxa"/>
            <w:tcBorders>
              <w:top w:val="single" w:sz="4" w:space="0" w:color="auto"/>
              <w:left w:val="single" w:sz="4" w:space="0" w:color="000000"/>
              <w:bottom w:val="single" w:sz="4" w:space="0" w:color="auto"/>
              <w:right w:val="single" w:sz="4" w:space="0" w:color="000000"/>
            </w:tcBorders>
          </w:tcPr>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Високий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Середній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830F3">
              <w:rPr>
                <w:lang w:val="uk-UA"/>
              </w:rPr>
              <w:t>Низький</w:t>
            </w:r>
          </w:p>
          <w:p w:rsidR="00E16089" w:rsidRPr="00F830F3" w:rsidRDefault="00E16089" w:rsidP="0087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bookmarkStart w:id="0" w:name="_GoBack"/>
            <w:bookmarkEnd w:id="0"/>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709"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567"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p>
        </w:tc>
        <w:tc>
          <w:tcPr>
            <w:tcW w:w="1983" w:type="dxa"/>
            <w:tcBorders>
              <w:top w:val="single" w:sz="4" w:space="0" w:color="auto"/>
              <w:left w:val="single" w:sz="4" w:space="0" w:color="000000"/>
              <w:bottom w:val="single" w:sz="4" w:space="0" w:color="auto"/>
              <w:right w:val="single" w:sz="4" w:space="0" w:color="auto"/>
            </w:tcBorders>
          </w:tcPr>
          <w:p w:rsidR="00E16089" w:rsidRPr="00F830F3" w:rsidRDefault="00E16089" w:rsidP="008702C6">
            <w:pPr>
              <w:rPr>
                <w:lang w:val="uk-UA"/>
              </w:rPr>
            </w:pPr>
            <w:r w:rsidRPr="00F830F3">
              <w:rPr>
                <w:lang w:val="uk-UA"/>
              </w:rPr>
              <w:t>Частина перша статті 58 ЗУ 2498-XII</w:t>
            </w:r>
          </w:p>
        </w:tc>
      </w:tr>
    </w:tbl>
    <w:p w:rsidR="00E16089" w:rsidRPr="009602D2" w:rsidRDefault="00E16089" w:rsidP="00E16089">
      <w:pPr>
        <w:jc w:val="center"/>
        <w:rPr>
          <w:b/>
          <w:bCs/>
          <w:sz w:val="28"/>
          <w:szCs w:val="28"/>
        </w:rPr>
      </w:pPr>
    </w:p>
    <w:p w:rsidR="00094321" w:rsidRDefault="00094321" w:rsidP="00094321">
      <w:proofErr w:type="spellStart"/>
      <w:r>
        <w:t>Примітка</w:t>
      </w:r>
      <w:proofErr w:type="spellEnd"/>
      <w:r>
        <w:t xml:space="preserve">. </w:t>
      </w:r>
      <w:proofErr w:type="spellStart"/>
      <w:r>
        <w:t>Пояснення</w:t>
      </w:r>
      <w:proofErr w:type="spellEnd"/>
      <w:r>
        <w:t xml:space="preserve"> до </w:t>
      </w:r>
      <w:proofErr w:type="spellStart"/>
      <w:r>
        <w:t>позначень</w:t>
      </w:r>
      <w:proofErr w:type="spellEnd"/>
      <w:r>
        <w:t xml:space="preserve">, </w:t>
      </w:r>
      <w:proofErr w:type="spellStart"/>
      <w:r>
        <w:t>використаних</w:t>
      </w:r>
      <w:proofErr w:type="spellEnd"/>
      <w:r>
        <w:t xml:space="preserve"> у </w:t>
      </w:r>
      <w:proofErr w:type="spellStart"/>
      <w:r>
        <w:t>цьому</w:t>
      </w:r>
      <w:proofErr w:type="spellEnd"/>
      <w:r>
        <w:t xml:space="preserve"> </w:t>
      </w:r>
      <w:r w:rsidR="009300D3">
        <w:rPr>
          <w:lang w:val="uk-UA"/>
        </w:rPr>
        <w:t>Переліку</w:t>
      </w:r>
      <w:r>
        <w:t>:</w:t>
      </w:r>
    </w:p>
    <w:p w:rsidR="00094321" w:rsidRDefault="00094321" w:rsidP="00094321">
      <w:r>
        <w:t xml:space="preserve">так – </w:t>
      </w:r>
      <w:proofErr w:type="spellStart"/>
      <w:r>
        <w:t>виконано</w:t>
      </w:r>
      <w:proofErr w:type="spellEnd"/>
      <w:r>
        <w:t xml:space="preserve">, </w:t>
      </w:r>
      <w:proofErr w:type="spellStart"/>
      <w:r>
        <w:t>дотримано</w:t>
      </w:r>
      <w:proofErr w:type="spellEnd"/>
      <w:r>
        <w:t xml:space="preserve">, </w:t>
      </w:r>
      <w:proofErr w:type="spellStart"/>
      <w:r>
        <w:t>відповіда</w:t>
      </w:r>
      <w:proofErr w:type="gramStart"/>
      <w:r>
        <w:t>є</w:t>
      </w:r>
      <w:proofErr w:type="spellEnd"/>
      <w:r>
        <w:t>,</w:t>
      </w:r>
      <w:proofErr w:type="gramEnd"/>
      <w:r>
        <w:t xml:space="preserve"> </w:t>
      </w:r>
      <w:proofErr w:type="spellStart"/>
      <w:r>
        <w:t>присутнє</w:t>
      </w:r>
      <w:proofErr w:type="spellEnd"/>
      <w:r>
        <w:t>;</w:t>
      </w:r>
    </w:p>
    <w:p w:rsidR="00094321" w:rsidRDefault="00094321" w:rsidP="00094321">
      <w:proofErr w:type="spellStart"/>
      <w:r>
        <w:t>ні</w:t>
      </w:r>
      <w:proofErr w:type="spellEnd"/>
      <w:r>
        <w:t xml:space="preserve"> – не </w:t>
      </w:r>
      <w:proofErr w:type="spellStart"/>
      <w:r>
        <w:t>виконано</w:t>
      </w:r>
      <w:proofErr w:type="spellEnd"/>
      <w:r>
        <w:t xml:space="preserve">, не </w:t>
      </w:r>
      <w:proofErr w:type="spellStart"/>
      <w:r>
        <w:t>дотримано</w:t>
      </w:r>
      <w:proofErr w:type="spellEnd"/>
      <w:r>
        <w:t xml:space="preserve">, не </w:t>
      </w:r>
      <w:proofErr w:type="spellStart"/>
      <w:r>
        <w:t>відповіда</w:t>
      </w:r>
      <w:proofErr w:type="gramStart"/>
      <w:r>
        <w:t>є</w:t>
      </w:r>
      <w:proofErr w:type="spellEnd"/>
      <w:r>
        <w:t>,</w:t>
      </w:r>
      <w:proofErr w:type="gramEnd"/>
      <w:r>
        <w:t xml:space="preserve"> </w:t>
      </w:r>
      <w:proofErr w:type="spellStart"/>
      <w:r>
        <w:t>відсутнє</w:t>
      </w:r>
      <w:proofErr w:type="spellEnd"/>
      <w:r>
        <w:t>;</w:t>
      </w:r>
    </w:p>
    <w:p w:rsidR="00094321" w:rsidRDefault="00094321" w:rsidP="00094321">
      <w:r>
        <w:t xml:space="preserve">НВ – не </w:t>
      </w:r>
      <w:proofErr w:type="spellStart"/>
      <w:r>
        <w:t>вимагається</w:t>
      </w:r>
      <w:proofErr w:type="spellEnd"/>
      <w:r>
        <w:t xml:space="preserve"> </w:t>
      </w:r>
      <w:proofErr w:type="spellStart"/>
      <w:r>
        <w:t>від</w:t>
      </w:r>
      <w:proofErr w:type="spellEnd"/>
      <w:r>
        <w:t xml:space="preserve"> оператора ринку/</w:t>
      </w:r>
      <w:proofErr w:type="spellStart"/>
      <w:r>
        <w:t>об’єкта</w:t>
      </w:r>
      <w:proofErr w:type="spellEnd"/>
      <w:r>
        <w:t xml:space="preserve">, </w:t>
      </w:r>
      <w:proofErr w:type="spellStart"/>
      <w:r>
        <w:t>що</w:t>
      </w:r>
      <w:proofErr w:type="spellEnd"/>
      <w:r>
        <w:t xml:space="preserve"> </w:t>
      </w:r>
      <w:proofErr w:type="spellStart"/>
      <w:proofErr w:type="gramStart"/>
      <w:r>
        <w:t>перев</w:t>
      </w:r>
      <w:proofErr w:type="gramEnd"/>
      <w:r>
        <w:t>іряється</w:t>
      </w:r>
      <w:proofErr w:type="spellEnd"/>
      <w:r>
        <w:t>;</w:t>
      </w:r>
    </w:p>
    <w:p w:rsidR="002E12C6" w:rsidRDefault="00094321" w:rsidP="00094321">
      <w:r>
        <w:t xml:space="preserve">НП – не </w:t>
      </w:r>
      <w:proofErr w:type="spellStart"/>
      <w:proofErr w:type="gramStart"/>
      <w:r>
        <w:t>перев</w:t>
      </w:r>
      <w:proofErr w:type="gramEnd"/>
      <w:r>
        <w:t>ірялося</w:t>
      </w:r>
      <w:proofErr w:type="spellEnd"/>
      <w:r>
        <w:t xml:space="preserve"> у </w:t>
      </w:r>
      <w:proofErr w:type="spellStart"/>
      <w:r>
        <w:t>цього</w:t>
      </w:r>
      <w:proofErr w:type="spellEnd"/>
      <w:r>
        <w:t xml:space="preserve"> оператора ринку/на </w:t>
      </w:r>
      <w:proofErr w:type="spellStart"/>
      <w:r>
        <w:t>цьому</w:t>
      </w:r>
      <w:proofErr w:type="spellEnd"/>
      <w:r>
        <w:t xml:space="preserve"> </w:t>
      </w:r>
      <w:proofErr w:type="spellStart"/>
      <w:r>
        <w:t>об’єкті</w:t>
      </w:r>
      <w:proofErr w:type="spellEnd"/>
      <w:r>
        <w:t>.</w:t>
      </w:r>
    </w:p>
    <w:sectPr w:rsidR="002E12C6" w:rsidSect="00F830F3">
      <w:headerReference w:type="default" r:id="rId6"/>
      <w:headerReference w:type="first" r:id="rId7"/>
      <w:type w:val="continuous"/>
      <w:pgSz w:w="11900" w:h="16840"/>
      <w:pgMar w:top="851" w:right="567" w:bottom="851" w:left="1701" w:header="567"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BE" w:rsidRDefault="008776BE" w:rsidP="00F830F3">
      <w:r>
        <w:separator/>
      </w:r>
    </w:p>
  </w:endnote>
  <w:endnote w:type="continuationSeparator" w:id="0">
    <w:p w:rsidR="008776BE" w:rsidRDefault="008776BE" w:rsidP="00F83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BE" w:rsidRDefault="008776BE" w:rsidP="00F830F3">
      <w:r>
        <w:separator/>
      </w:r>
    </w:p>
  </w:footnote>
  <w:footnote w:type="continuationSeparator" w:id="0">
    <w:p w:rsidR="008776BE" w:rsidRDefault="008776BE" w:rsidP="00F83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300180"/>
      <w:docPartObj>
        <w:docPartGallery w:val="Page Numbers (Top of Page)"/>
        <w:docPartUnique/>
      </w:docPartObj>
    </w:sdtPr>
    <w:sdtContent>
      <w:p w:rsidR="004A35F9" w:rsidRDefault="001A7E4A">
        <w:pPr>
          <w:pStyle w:val="a3"/>
          <w:jc w:val="center"/>
        </w:pPr>
        <w:r>
          <w:fldChar w:fldCharType="begin"/>
        </w:r>
        <w:r w:rsidR="00F830F3">
          <w:instrText>PAGE   \* MERGEFORMAT</w:instrText>
        </w:r>
        <w:r>
          <w:fldChar w:fldCharType="separate"/>
        </w:r>
        <w:r w:rsidR="00E340A3">
          <w:rPr>
            <w:noProof/>
          </w:rPr>
          <w:t>6</w:t>
        </w:r>
        <w:r>
          <w:fldChar w:fldCharType="end"/>
        </w:r>
      </w:p>
      <w:p w:rsidR="00F830F3" w:rsidRDefault="004A35F9" w:rsidP="004A35F9">
        <w:pPr>
          <w:pStyle w:val="a3"/>
          <w:ind w:left="6521"/>
        </w:pPr>
        <w:r>
          <w:rPr>
            <w:sz w:val="28"/>
            <w:szCs w:val="28"/>
            <w:lang w:val="uk-UA"/>
          </w:rPr>
          <w:t>Продовження додатка 10</w:t>
        </w:r>
      </w:p>
    </w:sdtContent>
  </w:sdt>
  <w:p w:rsidR="00F830F3" w:rsidRDefault="00F830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F3" w:rsidRDefault="00F830F3">
    <w:pPr>
      <w:pStyle w:val="a3"/>
      <w:jc w:val="center"/>
    </w:pPr>
  </w:p>
  <w:p w:rsidR="00F830F3" w:rsidRDefault="00F830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16089"/>
    <w:rsid w:val="00094321"/>
    <w:rsid w:val="000D285B"/>
    <w:rsid w:val="000E061A"/>
    <w:rsid w:val="001A7E4A"/>
    <w:rsid w:val="002E12C6"/>
    <w:rsid w:val="0036457E"/>
    <w:rsid w:val="00381120"/>
    <w:rsid w:val="004A35F9"/>
    <w:rsid w:val="008776BE"/>
    <w:rsid w:val="008E1B8E"/>
    <w:rsid w:val="009300D3"/>
    <w:rsid w:val="0099212C"/>
    <w:rsid w:val="009C0361"/>
    <w:rsid w:val="00A80CB4"/>
    <w:rsid w:val="00BB79AA"/>
    <w:rsid w:val="00C56F36"/>
    <w:rsid w:val="00E16089"/>
    <w:rsid w:val="00E340A3"/>
    <w:rsid w:val="00EE5BAC"/>
    <w:rsid w:val="00F83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0F3"/>
    <w:pPr>
      <w:tabs>
        <w:tab w:val="center" w:pos="4677"/>
        <w:tab w:val="right" w:pos="9355"/>
      </w:tabs>
    </w:pPr>
  </w:style>
  <w:style w:type="character" w:customStyle="1" w:styleId="a4">
    <w:name w:val="Верхній колонтитул Знак"/>
    <w:basedOn w:val="a0"/>
    <w:link w:val="a3"/>
    <w:uiPriority w:val="99"/>
    <w:rsid w:val="00F830F3"/>
    <w:rPr>
      <w:rFonts w:eastAsia="Times New Roman"/>
      <w:sz w:val="24"/>
      <w:szCs w:val="24"/>
      <w:lang w:eastAsia="ru-RU"/>
    </w:rPr>
  </w:style>
  <w:style w:type="paragraph" w:styleId="a5">
    <w:name w:val="footer"/>
    <w:basedOn w:val="a"/>
    <w:link w:val="a6"/>
    <w:uiPriority w:val="99"/>
    <w:unhideWhenUsed/>
    <w:rsid w:val="00F830F3"/>
    <w:pPr>
      <w:tabs>
        <w:tab w:val="center" w:pos="4677"/>
        <w:tab w:val="right" w:pos="9355"/>
      </w:tabs>
    </w:pPr>
  </w:style>
  <w:style w:type="character" w:customStyle="1" w:styleId="a6">
    <w:name w:val="Нижній колонтитул Знак"/>
    <w:basedOn w:val="a0"/>
    <w:link w:val="a5"/>
    <w:uiPriority w:val="99"/>
    <w:rsid w:val="00F830F3"/>
    <w:rPr>
      <w:rFonts w:eastAsia="Times New Roman"/>
      <w:sz w:val="24"/>
      <w:szCs w:val="24"/>
      <w:lang w:eastAsia="ru-RU"/>
    </w:rPr>
  </w:style>
  <w:style w:type="paragraph" w:styleId="a7">
    <w:name w:val="Balloon Text"/>
    <w:basedOn w:val="a"/>
    <w:link w:val="a8"/>
    <w:uiPriority w:val="99"/>
    <w:semiHidden/>
    <w:unhideWhenUsed/>
    <w:rsid w:val="00F830F3"/>
    <w:rPr>
      <w:rFonts w:ascii="Segoe UI" w:hAnsi="Segoe UI" w:cs="Segoe UI"/>
      <w:sz w:val="18"/>
      <w:szCs w:val="18"/>
    </w:rPr>
  </w:style>
  <w:style w:type="character" w:customStyle="1" w:styleId="a8">
    <w:name w:val="Текст у виносці Знак"/>
    <w:basedOn w:val="a0"/>
    <w:link w:val="a7"/>
    <w:uiPriority w:val="99"/>
    <w:semiHidden/>
    <w:rsid w:val="00F830F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0F3"/>
    <w:pPr>
      <w:tabs>
        <w:tab w:val="center" w:pos="4677"/>
        <w:tab w:val="right" w:pos="9355"/>
      </w:tabs>
    </w:pPr>
  </w:style>
  <w:style w:type="character" w:customStyle="1" w:styleId="a4">
    <w:name w:val="Верхний колонтитул Знак"/>
    <w:basedOn w:val="a0"/>
    <w:link w:val="a3"/>
    <w:uiPriority w:val="99"/>
    <w:rsid w:val="00F830F3"/>
    <w:rPr>
      <w:rFonts w:eastAsia="Times New Roman"/>
      <w:sz w:val="24"/>
      <w:szCs w:val="24"/>
      <w:lang w:eastAsia="ru-RU"/>
    </w:rPr>
  </w:style>
  <w:style w:type="paragraph" w:styleId="a5">
    <w:name w:val="footer"/>
    <w:basedOn w:val="a"/>
    <w:link w:val="a6"/>
    <w:uiPriority w:val="99"/>
    <w:unhideWhenUsed/>
    <w:rsid w:val="00F830F3"/>
    <w:pPr>
      <w:tabs>
        <w:tab w:val="center" w:pos="4677"/>
        <w:tab w:val="right" w:pos="9355"/>
      </w:tabs>
    </w:pPr>
  </w:style>
  <w:style w:type="character" w:customStyle="1" w:styleId="a6">
    <w:name w:val="Нижний колонтитул Знак"/>
    <w:basedOn w:val="a0"/>
    <w:link w:val="a5"/>
    <w:uiPriority w:val="99"/>
    <w:rsid w:val="00F830F3"/>
    <w:rPr>
      <w:rFonts w:eastAsia="Times New Roman"/>
      <w:sz w:val="24"/>
      <w:szCs w:val="24"/>
      <w:lang w:eastAsia="ru-RU"/>
    </w:rPr>
  </w:style>
  <w:style w:type="paragraph" w:styleId="a7">
    <w:name w:val="Balloon Text"/>
    <w:basedOn w:val="a"/>
    <w:link w:val="a8"/>
    <w:uiPriority w:val="99"/>
    <w:semiHidden/>
    <w:unhideWhenUsed/>
    <w:rsid w:val="00F830F3"/>
    <w:rPr>
      <w:rFonts w:ascii="Segoe UI" w:hAnsi="Segoe UI" w:cs="Segoe UI"/>
      <w:sz w:val="18"/>
      <w:szCs w:val="18"/>
    </w:rPr>
  </w:style>
  <w:style w:type="character" w:customStyle="1" w:styleId="a8">
    <w:name w:val="Текст выноски Знак"/>
    <w:basedOn w:val="a0"/>
    <w:link w:val="a7"/>
    <w:uiPriority w:val="99"/>
    <w:semiHidden/>
    <w:rsid w:val="00F830F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5921</Words>
  <Characters>3375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o.nagaevska</cp:lastModifiedBy>
  <cp:revision>11</cp:revision>
  <cp:lastPrinted>2018-04-06T06:51:00Z</cp:lastPrinted>
  <dcterms:created xsi:type="dcterms:W3CDTF">2018-03-03T08:26:00Z</dcterms:created>
  <dcterms:modified xsi:type="dcterms:W3CDTF">2018-04-10T12:13:00Z</dcterms:modified>
</cp:coreProperties>
</file>