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7AE6" w14:textId="77777777" w:rsidR="001128FA" w:rsidRPr="00DD0362" w:rsidRDefault="001128FA" w:rsidP="00C501A9">
      <w:pPr>
        <w:pStyle w:val="Ch69"/>
        <w:ind w:left="5387"/>
        <w:rPr>
          <w:w w:val="100"/>
          <w:sz w:val="24"/>
          <w:szCs w:val="24"/>
        </w:rPr>
      </w:pPr>
      <w:r w:rsidRPr="00DD0362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16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Порядку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видачі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міжнародних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сертифікатів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інших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документів,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вимагаються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законодавством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країни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призначення,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для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вантажів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харчовими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продуктами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або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кормами,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що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вивозяться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(пересилаються)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межі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митної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території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12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DD0362">
        <w:rPr>
          <w:w w:val="100"/>
          <w:sz w:val="24"/>
          <w:szCs w:val="24"/>
        </w:rPr>
        <w:t>І)</w:t>
      </w:r>
    </w:p>
    <w:p w14:paraId="47D6AE8F" w14:textId="77777777" w:rsidR="001128FA" w:rsidRPr="00FD50CE" w:rsidRDefault="001128FA" w:rsidP="001128FA">
      <w:pPr>
        <w:pStyle w:val="Ch66"/>
        <w:spacing w:after="57"/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</w:pPr>
      <w:r w:rsidRPr="00FD50CE">
        <w:rPr>
          <w:w w:val="100"/>
          <w:sz w:val="28"/>
          <w:szCs w:val="28"/>
        </w:rPr>
        <w:t xml:space="preserve">Форма </w:t>
      </w:r>
      <w:r w:rsidRPr="00FD50CE">
        <w:rPr>
          <w:w w:val="100"/>
          <w:sz w:val="28"/>
          <w:szCs w:val="28"/>
        </w:rPr>
        <w:br/>
        <w:t xml:space="preserve">міжнародного сертифіката для експорту з України / </w:t>
      </w:r>
      <w:proofErr w:type="spellStart"/>
      <w:r w:rsidRPr="00FD50CE">
        <w:rPr>
          <w:w w:val="100"/>
          <w:sz w:val="28"/>
          <w:szCs w:val="28"/>
        </w:rPr>
        <w:t>передекспортного</w:t>
      </w:r>
      <w:proofErr w:type="spellEnd"/>
      <w:r w:rsidRPr="00FD50CE">
        <w:rPr>
          <w:w w:val="100"/>
          <w:sz w:val="28"/>
          <w:szCs w:val="28"/>
        </w:rPr>
        <w:t xml:space="preserve"> </w:t>
      </w:r>
      <w:r w:rsidRPr="00FD50CE">
        <w:rPr>
          <w:w w:val="100"/>
          <w:sz w:val="28"/>
          <w:szCs w:val="28"/>
        </w:rPr>
        <w:br/>
        <w:t xml:space="preserve">сертифіката кормів, які містять побічні продукти тваринного походження, </w:t>
      </w:r>
      <w:r w:rsidRPr="00FD50CE">
        <w:rPr>
          <w:w w:val="100"/>
          <w:sz w:val="28"/>
          <w:szCs w:val="28"/>
        </w:rPr>
        <w:br/>
        <w:t>не призначені для споживання людиною</w:t>
      </w:r>
      <w:r w:rsidRPr="00FD50CE">
        <w:rPr>
          <w:w w:val="100"/>
          <w:sz w:val="28"/>
          <w:szCs w:val="28"/>
          <w:vertAlign w:val="superscript"/>
        </w:rPr>
        <w:t>(1)</w:t>
      </w:r>
      <w:r w:rsidRPr="00FD50CE">
        <w:rPr>
          <w:w w:val="100"/>
          <w:sz w:val="28"/>
          <w:szCs w:val="28"/>
        </w:rPr>
        <w:t xml:space="preserve"> /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Form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of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International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br/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Certificate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for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export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from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Ukraine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of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feed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containing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animal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by-products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br/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not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intended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for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human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 xml:space="preserve"> </w:t>
      </w:r>
      <w:proofErr w:type="spellStart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</w:rPr>
        <w:t>consumption</w:t>
      </w:r>
      <w:proofErr w:type="spellEnd"/>
      <w:r w:rsidRPr="00FD50CE">
        <w:rPr>
          <w:rFonts w:ascii="Pragmatica-Book" w:hAnsi="Pragmatica-Book" w:cs="Pragmatica-Book"/>
          <w:b w:val="0"/>
          <w:bCs w:val="0"/>
          <w:w w:val="100"/>
          <w:sz w:val="28"/>
          <w:szCs w:val="28"/>
          <w:vertAlign w:val="superscript"/>
        </w:rPr>
        <w:t>(1)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55"/>
        <w:gridCol w:w="394"/>
        <w:gridCol w:w="818"/>
        <w:gridCol w:w="489"/>
        <w:gridCol w:w="642"/>
        <w:gridCol w:w="593"/>
        <w:gridCol w:w="461"/>
        <w:gridCol w:w="71"/>
        <w:gridCol w:w="216"/>
        <w:gridCol w:w="37"/>
        <w:gridCol w:w="571"/>
        <w:gridCol w:w="1068"/>
        <w:gridCol w:w="24"/>
        <w:gridCol w:w="104"/>
        <w:gridCol w:w="748"/>
        <w:gridCol w:w="761"/>
        <w:gridCol w:w="818"/>
        <w:gridCol w:w="824"/>
      </w:tblGrid>
      <w:tr w:rsidR="001128FA" w:rsidRPr="00FE1A4F" w14:paraId="40AF02C9" w14:textId="77777777" w:rsidTr="00C501A9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37819" w14:textId="77777777" w:rsidR="001128FA" w:rsidRPr="00FE1A4F" w:rsidRDefault="001128FA" w:rsidP="00C23DC6">
            <w:pPr>
              <w:pStyle w:val="TableTABL"/>
              <w:jc w:val="center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Детальна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інформація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відправленого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вантажу/</w:t>
            </w:r>
          </w:p>
          <w:p w14:paraId="445309E2" w14:textId="77777777" w:rsidR="001128FA" w:rsidRPr="00FE1A4F" w:rsidRDefault="001128FA" w:rsidP="00C23DC6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Details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dispatched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consignment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128FA" w:rsidRPr="00FE1A4F" w14:paraId="4C9D1417" w14:textId="77777777" w:rsidTr="00C501A9">
        <w:trPr>
          <w:trHeight w:val="60"/>
        </w:trPr>
        <w:tc>
          <w:tcPr>
            <w:tcW w:w="242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0AB12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Відправник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/експортер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Consignor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exporter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br/>
              <w:t>Найменування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прізвище,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власне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ім’я,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батькові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наявності)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</w:p>
          <w:p w14:paraId="563A5691" w14:textId="77777777" w:rsidR="001128FA" w:rsidRPr="00FE1A4F" w:rsidRDefault="001128FA" w:rsidP="00C23DC6">
            <w:pPr>
              <w:pStyle w:val="TableTABL"/>
              <w:spacing w:before="57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Місцезнаходження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1717E420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  <w:p w14:paraId="0A97653D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  <w:p w14:paraId="6D137ED1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телефону: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Tel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.:</w:t>
            </w:r>
          </w:p>
        </w:tc>
        <w:tc>
          <w:tcPr>
            <w:tcW w:w="257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517D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I.2.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Унікальний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ідентифікаційний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br/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сертифіката/</w:t>
            </w:r>
          </w:p>
          <w:p w14:paraId="189FFC41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unique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reference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</w:p>
        </w:tc>
      </w:tr>
      <w:tr w:rsidR="001128FA" w:rsidRPr="00FE1A4F" w14:paraId="1D71534D" w14:textId="77777777" w:rsidTr="00C501A9">
        <w:trPr>
          <w:trHeight w:val="60"/>
        </w:trPr>
        <w:tc>
          <w:tcPr>
            <w:tcW w:w="242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A553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7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B3B5D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I.3.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Компетентний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орган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країни-експортера/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Competent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exporting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</w:tc>
      </w:tr>
      <w:tr w:rsidR="001128FA" w:rsidRPr="00FE1A4F" w14:paraId="533768AF" w14:textId="77777777" w:rsidTr="00C501A9">
        <w:trPr>
          <w:trHeight w:val="615"/>
        </w:trPr>
        <w:tc>
          <w:tcPr>
            <w:tcW w:w="242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75C2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7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36393" w14:textId="77777777" w:rsidR="001128FA" w:rsidRPr="00FE1A4F" w:rsidRDefault="001128FA" w:rsidP="00C23DC6">
            <w:pPr>
              <w:pStyle w:val="TableTABL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I.4.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Територіальний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орган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компетентного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органу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країни-експортера/</w:t>
            </w:r>
          </w:p>
          <w:p w14:paraId="1F9FDEE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Local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Competent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exporting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</w:tc>
      </w:tr>
      <w:tr w:rsidR="001128FA" w:rsidRPr="00FE1A4F" w14:paraId="067FAB29" w14:textId="77777777" w:rsidTr="00C501A9">
        <w:trPr>
          <w:trHeight w:val="60"/>
        </w:trPr>
        <w:tc>
          <w:tcPr>
            <w:tcW w:w="242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7EBD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I.5.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Отримувач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Consignee</w:t>
            </w:r>
            <w:proofErr w:type="spellEnd"/>
          </w:p>
        </w:tc>
        <w:tc>
          <w:tcPr>
            <w:tcW w:w="257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EC6DC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1128FA" w:rsidRPr="00FE1A4F" w14:paraId="57E5B72A" w14:textId="77777777" w:rsidTr="00C501A9">
        <w:trPr>
          <w:trHeight w:val="60"/>
        </w:trPr>
        <w:tc>
          <w:tcPr>
            <w:tcW w:w="2429" w:type="pct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5F11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Найменування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прізвище,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власне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ім’я,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батькові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наявності)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571" w:type="pct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E540C" w14:textId="77777777" w:rsidR="001128FA" w:rsidRPr="00FE1A4F" w:rsidRDefault="001128FA" w:rsidP="00C23DC6">
            <w:pPr>
              <w:pStyle w:val="TableTABL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Місцезнаходження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6B3B2ACC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</w:tc>
      </w:tr>
      <w:tr w:rsidR="001128FA" w:rsidRPr="00FE1A4F" w14:paraId="330FD612" w14:textId="77777777" w:rsidTr="00C501A9">
        <w:trPr>
          <w:trHeight w:val="250"/>
        </w:trPr>
        <w:tc>
          <w:tcPr>
            <w:tcW w:w="2429" w:type="pct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0A532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</w:p>
        </w:tc>
        <w:tc>
          <w:tcPr>
            <w:tcW w:w="2571" w:type="pct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E27F5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1128FA" w:rsidRPr="00FE1A4F" w14:paraId="39F67E73" w14:textId="77777777" w:rsidTr="00C501A9">
        <w:trPr>
          <w:trHeight w:val="60"/>
        </w:trPr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D2712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I.6.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Країна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br/>
              <w:t>походження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0B7A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Код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ISO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ISO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360E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I.7.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Зона,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регіон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або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компартмент</w:t>
            </w:r>
            <w:proofErr w:type="spellEnd"/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Zone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compartment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908B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Код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1578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I.8.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destination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8F06D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ISO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ISO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C598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I.9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Зона,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регіон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компартмент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Zone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compartment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destination</w:t>
            </w:r>
            <w:proofErr w:type="spell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3079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</w:tc>
      </w:tr>
      <w:tr w:rsidR="001128FA" w:rsidRPr="00FE1A4F" w14:paraId="40E95975" w14:textId="77777777" w:rsidTr="007E286C">
        <w:trPr>
          <w:trHeight w:val="60"/>
        </w:trPr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DD8C5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1D2FB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7EA15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7C0E0E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4148B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4C9B9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BA501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61FA9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1128FA" w:rsidRPr="00FE1A4F" w14:paraId="1A203939" w14:textId="77777777" w:rsidTr="007E286C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9A6C8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I.10.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Місце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</w:p>
        </w:tc>
      </w:tr>
      <w:tr w:rsidR="001128FA" w:rsidRPr="00FE1A4F" w14:paraId="71915381" w14:textId="77777777" w:rsidTr="007E286C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00F21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Назва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</w:p>
        </w:tc>
      </w:tr>
      <w:tr w:rsidR="001128FA" w:rsidRPr="00FE1A4F" w14:paraId="24578F4D" w14:textId="77777777" w:rsidTr="007E286C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D78F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Адреса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128FA" w:rsidRPr="00FE1A4F" w14:paraId="6EA7CB45" w14:textId="77777777" w:rsidTr="007E286C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14D8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Реєстраційний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Registration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</w:t>
            </w:r>
            <w:proofErr w:type="spellEnd"/>
          </w:p>
        </w:tc>
      </w:tr>
      <w:tr w:rsidR="001128FA" w:rsidRPr="00FE1A4F" w14:paraId="22ECBF9C" w14:textId="77777777" w:rsidTr="007E286C">
        <w:trPr>
          <w:trHeight w:val="60"/>
        </w:trPr>
        <w:tc>
          <w:tcPr>
            <w:tcW w:w="246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F949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I.11.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Місце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відвантаження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loading</w:t>
            </w:r>
            <w:proofErr w:type="spellEnd"/>
          </w:p>
          <w:p w14:paraId="5F946CA0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Адреса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25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8150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I.12.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Дата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відправлення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departure</w:t>
            </w:r>
            <w:proofErr w:type="spellEnd"/>
          </w:p>
        </w:tc>
      </w:tr>
      <w:tr w:rsidR="001128FA" w:rsidRPr="00FE1A4F" w14:paraId="68BCA305" w14:textId="77777777" w:rsidTr="00C501A9">
        <w:trPr>
          <w:trHeight w:val="972"/>
        </w:trPr>
        <w:tc>
          <w:tcPr>
            <w:tcW w:w="2464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F915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I.13.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засіб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</w:t>
            </w:r>
            <w:proofErr w:type="spellEnd"/>
          </w:p>
          <w:p w14:paraId="0BF8D137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Літак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Aeroplane</w:t>
            </w:r>
            <w:proofErr w:type="spellEnd"/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637EED71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Судно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Ship</w:t>
            </w:r>
            <w:proofErr w:type="spellEnd"/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1767E650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Залізничні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вагони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07FB51E0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Railway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wagon</w:t>
            </w:r>
            <w:proofErr w:type="spellEnd"/>
          </w:p>
          <w:p w14:paraId="4F80A470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Дорожній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15314105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Road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</w:t>
            </w:r>
            <w:proofErr w:type="spellEnd"/>
          </w:p>
          <w:p w14:paraId="1D98189D" w14:textId="77777777" w:rsidR="001128FA" w:rsidRPr="00FE1A4F" w:rsidRDefault="001128FA" w:rsidP="00C23DC6">
            <w:pPr>
              <w:pStyle w:val="TableTABL"/>
              <w:tabs>
                <w:tab w:val="clear" w:pos="7767"/>
                <w:tab w:val="left" w:pos="1700"/>
              </w:tabs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Інший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                             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  <w:p w14:paraId="6EF4F08F" w14:textId="77777777" w:rsidR="001128FA" w:rsidRPr="00FE1A4F" w:rsidRDefault="001128FA" w:rsidP="00C23DC6">
            <w:pPr>
              <w:pStyle w:val="TableTABL"/>
              <w:spacing w:before="57"/>
              <w:rPr>
                <w:rStyle w:val="Bold"/>
                <w:bCs/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Ідентифікація</w:t>
            </w:r>
          </w:p>
          <w:p w14:paraId="45BDA0A0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засобу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identification</w:t>
            </w:r>
            <w:proofErr w:type="spellEnd"/>
          </w:p>
        </w:tc>
        <w:tc>
          <w:tcPr>
            <w:tcW w:w="25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7EB9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I.14.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Супровідні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документи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Accompanying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documents</w:t>
            </w:r>
            <w:proofErr w:type="spellEnd"/>
          </w:p>
          <w:p w14:paraId="0EA52AE4" w14:textId="77777777" w:rsidR="001128FA" w:rsidRPr="00FE1A4F" w:rsidRDefault="001128FA" w:rsidP="00C23DC6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 w:val="0"/>
                <w:spacing w:val="0"/>
                <w:sz w:val="22"/>
                <w:szCs w:val="22"/>
              </w:rPr>
              <w:t>Type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                       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</w:p>
          <w:p w14:paraId="716B210D" w14:textId="77777777" w:rsidR="001128FA" w:rsidRPr="00FE1A4F" w:rsidRDefault="001128FA" w:rsidP="00C23DC6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Посилання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комерційні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документи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</w:p>
          <w:p w14:paraId="35DFE0B7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Commercial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document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reference</w:t>
            </w:r>
            <w:proofErr w:type="spellEnd"/>
          </w:p>
        </w:tc>
      </w:tr>
      <w:tr w:rsidR="001128FA" w:rsidRPr="00FE1A4F" w14:paraId="2044C248" w14:textId="77777777" w:rsidTr="00C501A9">
        <w:trPr>
          <w:trHeight w:val="892"/>
        </w:trPr>
        <w:tc>
          <w:tcPr>
            <w:tcW w:w="2464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EF27" w14:textId="77777777" w:rsidR="001128FA" w:rsidRPr="00FE1A4F" w:rsidRDefault="001128FA" w:rsidP="00C23DC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17A12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I.15.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пломби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контейнера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seal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№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container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№</w:t>
            </w:r>
          </w:p>
        </w:tc>
      </w:tr>
      <w:tr w:rsidR="001128FA" w:rsidRPr="00FE1A4F" w14:paraId="4A4EA709" w14:textId="77777777" w:rsidTr="007E286C">
        <w:trPr>
          <w:trHeight w:val="258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E116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I.16.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Інша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інформація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information</w:t>
            </w:r>
            <w:proofErr w:type="spellEnd"/>
          </w:p>
        </w:tc>
      </w:tr>
      <w:tr w:rsidR="001128FA" w:rsidRPr="00FE1A4F" w14:paraId="0D0B6785" w14:textId="77777777" w:rsidTr="007E286C">
        <w:trPr>
          <w:trHeight w:val="21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ADF7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I.17.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Температура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Temperature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</w:t>
            </w:r>
            <w:proofErr w:type="spellEnd"/>
          </w:p>
        </w:tc>
      </w:tr>
      <w:tr w:rsidR="001128FA" w:rsidRPr="00FE1A4F" w14:paraId="6C593251" w14:textId="77777777" w:rsidTr="007E286C">
        <w:trPr>
          <w:trHeight w:val="210"/>
        </w:trPr>
        <w:tc>
          <w:tcPr>
            <w:tcW w:w="1597" w:type="pct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B15CC" w14:textId="77777777" w:rsidR="001128FA" w:rsidRPr="00FE1A4F" w:rsidRDefault="001128FA" w:rsidP="00C23DC6">
            <w:pPr>
              <w:pStyle w:val="TableTABL"/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Температура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навколишнього</w:t>
            </w:r>
          </w:p>
          <w:p w14:paraId="05C00C34" w14:textId="351C1A66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середовища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="00C501A9">
              <w:rPr>
                <w:spacing w:val="0"/>
                <w:sz w:val="22"/>
                <w:szCs w:val="22"/>
              </w:rPr>
              <w:t>Ambient</w:t>
            </w:r>
            <w:proofErr w:type="spellEnd"/>
            <w:r w:rsidR="00C501A9">
              <w:rPr>
                <w:spacing w:val="0"/>
                <w:sz w:val="22"/>
                <w:szCs w:val="22"/>
              </w:rPr>
              <w:t xml:space="preserve"> </w:t>
            </w:r>
            <w:r w:rsidR="00C501A9">
              <w:rPr>
                <w:spacing w:val="0"/>
                <w:sz w:val="22"/>
                <w:szCs w:val="22"/>
                <w:lang w:val="en-ZW"/>
              </w:rPr>
              <w:t xml:space="preserve">    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</w:tc>
        <w:tc>
          <w:tcPr>
            <w:tcW w:w="1858" w:type="pct"/>
            <w:gridSpan w:val="10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0D93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Охолоджений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Chilled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</w:tc>
        <w:tc>
          <w:tcPr>
            <w:tcW w:w="1544" w:type="pct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AFBC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Заморожений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Frozen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 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</w:tc>
      </w:tr>
      <w:tr w:rsidR="001128FA" w:rsidRPr="00FE1A4F" w14:paraId="65D5C8FA" w14:textId="77777777" w:rsidTr="007E286C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C3C6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I.18.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Пункт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пропуску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країні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призначення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point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destination</w:t>
            </w:r>
            <w:proofErr w:type="spellEnd"/>
          </w:p>
        </w:tc>
      </w:tr>
      <w:tr w:rsidR="001128FA" w:rsidRPr="00FE1A4F" w14:paraId="0450CA19" w14:textId="77777777" w:rsidTr="007E286C">
        <w:trPr>
          <w:trHeight w:val="615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C1A4D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I.19.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Товари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для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</w:p>
          <w:p w14:paraId="7AD9E2F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Корми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</w:p>
          <w:p w14:paraId="13E6477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Feedingstuff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pacing w:val="0"/>
                <w:sz w:val="22"/>
                <w:szCs w:val="22"/>
              </w:rPr>
              <w:t xml:space="preserve">         </w:t>
            </w:r>
            <w:r>
              <w:rPr>
                <w:spacing w:val="0"/>
                <w:sz w:val="22"/>
                <w:szCs w:val="22"/>
              </w:rPr>
              <w:t xml:space="preserve">     </w:t>
            </w:r>
            <w:r w:rsidRPr="00FE1A4F">
              <w:rPr>
                <w:rFonts w:ascii="Wingdings-Regular" w:hAnsi="Wingdings-Regular" w:cs="Wingdings-Regular"/>
                <w:spacing w:val="0"/>
                <w:sz w:val="22"/>
                <w:szCs w:val="22"/>
              </w:rPr>
              <w:t></w:t>
            </w:r>
          </w:p>
        </w:tc>
      </w:tr>
      <w:tr w:rsidR="001128FA" w:rsidRPr="00FE1A4F" w14:paraId="1E53723D" w14:textId="77777777" w:rsidTr="007E286C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5CC18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I.20.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Опис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товару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Description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commodity</w:t>
            </w:r>
            <w:proofErr w:type="spellEnd"/>
          </w:p>
        </w:tc>
      </w:tr>
      <w:tr w:rsidR="001128FA" w:rsidRPr="00FE1A4F" w14:paraId="0BE86643" w14:textId="77777777" w:rsidTr="007E286C">
        <w:trPr>
          <w:trHeight w:val="437"/>
        </w:trPr>
        <w:tc>
          <w:tcPr>
            <w:tcW w:w="1597" w:type="pct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2468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Загальна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кількість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упаковок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</w:p>
          <w:p w14:paraId="2967B37B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Total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packages</w:t>
            </w:r>
            <w:proofErr w:type="spellEnd"/>
          </w:p>
        </w:tc>
        <w:tc>
          <w:tcPr>
            <w:tcW w:w="1858" w:type="pct"/>
            <w:gridSpan w:val="10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D4FC1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Загальна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маса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нетто</w:t>
            </w:r>
            <w:proofErr w:type="spellEnd"/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брутто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(кг)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</w:p>
          <w:p w14:paraId="38C94FF8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Total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net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weight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gross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weight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kg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</w:p>
        </w:tc>
        <w:tc>
          <w:tcPr>
            <w:tcW w:w="1544" w:type="pct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DA10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товару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(УКТ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ЗЕД)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(HS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code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</w:p>
        </w:tc>
      </w:tr>
      <w:tr w:rsidR="001128FA" w:rsidRPr="00FE1A4F" w14:paraId="5C0B2912" w14:textId="77777777" w:rsidTr="007E286C">
        <w:trPr>
          <w:trHeight w:val="195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E0B0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I.21.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Ідентифікація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товарів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Identification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commodities</w:t>
            </w:r>
            <w:proofErr w:type="spellEnd"/>
          </w:p>
        </w:tc>
      </w:tr>
      <w:tr w:rsidR="001128FA" w:rsidRPr="00FE1A4F" w14:paraId="66868DAD" w14:textId="77777777" w:rsidTr="007E286C">
        <w:trPr>
          <w:trHeight w:val="60"/>
        </w:trPr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338396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Вид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br/>
              <w:t>(наукова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назва)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</w:r>
            <w:proofErr w:type="spellStart"/>
            <w:r w:rsidRPr="00FE1A4F">
              <w:rPr>
                <w:w w:val="100"/>
                <w:sz w:val="22"/>
                <w:szCs w:val="22"/>
              </w:rPr>
              <w:t>Species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  <w:t>(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scientific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name</w:t>
            </w:r>
            <w:proofErr w:type="spellEnd"/>
            <w:r w:rsidRPr="00FE1A4F">
              <w:rPr>
                <w:w w:val="100"/>
                <w:sz w:val="22"/>
                <w:szCs w:val="22"/>
              </w:rPr>
              <w:t>)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4BE87C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Вид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товару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br/>
            </w:r>
            <w:proofErr w:type="spellStart"/>
            <w:r w:rsidRPr="00FE1A4F">
              <w:rPr>
                <w:w w:val="100"/>
                <w:sz w:val="22"/>
                <w:szCs w:val="22"/>
              </w:rPr>
              <w:t>Nature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of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commodity</w:t>
            </w:r>
            <w:proofErr w:type="spellEnd"/>
          </w:p>
        </w:tc>
        <w:tc>
          <w:tcPr>
            <w:tcW w:w="6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2B277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Вид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пакування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</w:p>
          <w:p w14:paraId="27255BC5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proofErr w:type="spellStart"/>
            <w:r w:rsidRPr="00FE1A4F">
              <w:rPr>
                <w:w w:val="100"/>
                <w:sz w:val="22"/>
                <w:szCs w:val="22"/>
              </w:rPr>
              <w:t>Type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of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packaging</w:t>
            </w:r>
            <w:proofErr w:type="spellEnd"/>
          </w:p>
        </w:tc>
        <w:tc>
          <w:tcPr>
            <w:tcW w:w="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3E548E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Кількість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упаковок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Number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of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packages</w:t>
            </w:r>
            <w:proofErr w:type="spellEnd"/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3EAA11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Маса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w w:val="100"/>
                <w:sz w:val="22"/>
                <w:szCs w:val="22"/>
              </w:rPr>
              <w:t>нетто</w:t>
            </w:r>
            <w:proofErr w:type="spellEnd"/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w w:val="100"/>
                <w:sz w:val="22"/>
                <w:szCs w:val="22"/>
              </w:rPr>
              <w:t xml:space="preserve"> </w:t>
            </w:r>
            <w:r w:rsidRPr="00FE1A4F">
              <w:rPr>
                <w:w w:val="100"/>
                <w:sz w:val="22"/>
                <w:szCs w:val="22"/>
              </w:rPr>
              <w:br/>
            </w:r>
            <w:proofErr w:type="spellStart"/>
            <w:r w:rsidRPr="00FE1A4F">
              <w:rPr>
                <w:w w:val="100"/>
                <w:sz w:val="22"/>
                <w:szCs w:val="22"/>
              </w:rPr>
              <w:t>Net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weight</w:t>
            </w:r>
            <w:proofErr w:type="spellEnd"/>
          </w:p>
        </w:tc>
        <w:tc>
          <w:tcPr>
            <w:tcW w:w="8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0F5041" w14:textId="77777777" w:rsidR="001128FA" w:rsidRPr="00FE1A4F" w:rsidRDefault="001128FA" w:rsidP="00C23DC6">
            <w:pPr>
              <w:pStyle w:val="TableshapkaTABL"/>
              <w:rPr>
                <w:w w:val="100"/>
                <w:sz w:val="22"/>
                <w:szCs w:val="22"/>
              </w:rPr>
            </w:pP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партії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w w:val="100"/>
                <w:sz w:val="22"/>
                <w:szCs w:val="22"/>
              </w:rPr>
              <w:t>/</w:t>
            </w:r>
            <w:r>
              <w:rPr>
                <w:rStyle w:val="Bold"/>
                <w:bCs/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Batch</w:t>
            </w:r>
            <w:proofErr w:type="spellEnd"/>
            <w:r>
              <w:rPr>
                <w:w w:val="10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w w:val="100"/>
                <w:sz w:val="22"/>
                <w:szCs w:val="22"/>
              </w:rPr>
              <w:t>number</w:t>
            </w:r>
            <w:proofErr w:type="spellEnd"/>
          </w:p>
        </w:tc>
      </w:tr>
      <w:tr w:rsidR="001128FA" w:rsidRPr="00FE1A4F" w14:paraId="441C6E33" w14:textId="77777777" w:rsidTr="007E286C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F60B4D" w14:textId="77777777" w:rsidR="001128FA" w:rsidRPr="00FE1A4F" w:rsidRDefault="001128FA" w:rsidP="00C23DC6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II: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Certification</w:t>
            </w:r>
            <w:proofErr w:type="spellEnd"/>
          </w:p>
        </w:tc>
      </w:tr>
      <w:tr w:rsidR="001128FA" w:rsidRPr="00FE1A4F" w14:paraId="08109192" w14:textId="77777777" w:rsidTr="007E286C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C8394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Інформація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здоров’я: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Health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information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1128FA" w:rsidRPr="00FE1A4F" w14:paraId="58C28A99" w14:textId="77777777" w:rsidTr="007E286C">
        <w:trPr>
          <w:trHeight w:val="60"/>
        </w:trPr>
        <w:tc>
          <w:tcPr>
            <w:tcW w:w="5000" w:type="pct"/>
            <w:gridSpan w:val="19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D487B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нижче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підписався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ветеринарний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уповноважена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особа,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засвідчую,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годування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містять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побічні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цього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міжнародного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сертифіката,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таким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br/>
              <w:t>I,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undersigned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veterinary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authorized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person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hereby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containing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by-products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specified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International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Certificate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following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1128FA" w:rsidRPr="00FE1A4F" w14:paraId="6A578EAB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BE96C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6A5E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потужності(ей),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(яким)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присвоєно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реєстраційний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номер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яка(які)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підлягає(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ють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регулярному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контролю;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(s)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registration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number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assigned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subject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regular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control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128FA" w:rsidRPr="00FE1A4F" w14:paraId="28765DFE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92AB6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II.2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853D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потужності(ей),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запроваджено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постійно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діючі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процедури,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засновані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принципах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системи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аналізу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небезпечних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факторів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контролю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критичних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точках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(НАССР);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(s)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permanent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procedures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based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principles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Hazard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Analysis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Critical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Control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Points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(HACCP)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system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place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5F47B158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093C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II.3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2A74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вироблені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дотриманням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гігієнічних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встановлених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hygiene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2547D3F6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B6E6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II.4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78C2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вмісту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речовин,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наявність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кормах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обмеженою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забороненою,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числі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мікробіологічних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забруднювачів;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regarding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substances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whose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presence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restricted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prohibited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including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microbiological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contaminants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128FA" w:rsidRPr="00FE1A4F" w14:paraId="6601AA2B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B5584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II.5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C77E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транспортування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запаковані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вологонепроникну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тару;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packed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moisture-proof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containers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transportation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5810C6EC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A231D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II.6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1F42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матеріали,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використовуються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пакування,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включаючи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первинне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пакування,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відповідають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гігієнічним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вимогам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packaging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including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wrapping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hygienic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141F6EFE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C39A8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II.7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CA76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моменту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переробки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зберігались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спосіб,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забезпечує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уникнення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забруднення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зараження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збудниками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захворювань,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можуть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людям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тваринам;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processing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stored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manner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ensures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avoidance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contamination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infection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pathogens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transmitted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6E4ABD05" w14:textId="77777777" w:rsidTr="007E286C">
        <w:trPr>
          <w:trHeight w:val="793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1C5D1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II.8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E979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завантаженням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транспортні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засоби,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здійснюються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перевезення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кормів,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очищені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продезінфіковані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before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loading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vehicles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transport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cleaned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disinfected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4E60DF90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24CF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II.9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0A6E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отримані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свіжої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походить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територій,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вільних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заразних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тому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числі: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obtained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fresh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free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contagious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including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1128FA" w:rsidRPr="00FE1A4F" w14:paraId="3B97F325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D6EC0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II.9.1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EBAFB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губчастоподібної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енцефалопатії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великої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рогатої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худоби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скрепі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овець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реєструвалося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жодного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разі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реєстрації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доведено,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зазначений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випадок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стосувався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виключно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імпортованих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продуктів;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bovine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spongiform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encephalopathy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scrapie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sheep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goats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registered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event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registered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proven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involved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only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imported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128FA" w:rsidRPr="00FE1A4F" w14:paraId="3F8B15CF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7A29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II.9.2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65F8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африканської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коней,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верблюдів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великої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рогатої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худоби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3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African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horse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sickness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camel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plague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rinderpest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years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country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7A9C4CE6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06B5B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II.9.3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37500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африканської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свиней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3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місяців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адміністративній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після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обробки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кормів,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прийняті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всі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необхідні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заходи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виключення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їх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контакту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потенційним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джерелом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вірусу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африканської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свиней;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African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swine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fever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month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administrative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after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treatment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all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necessary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measures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taken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exclude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their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contact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potential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source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virus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African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swine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fever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6FF5B415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F13D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II.9.4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E8AB04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класичної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чуми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свиней,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ящуру,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віспи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овець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кіз,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контагіозної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плевропневмонії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великої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рогатої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худоби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перипневмонії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),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везикулярного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стоматиту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12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місяців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адміністративній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території;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classical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swine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fever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foot-and-mouth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sheep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goat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pox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contagious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bovine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pleuropneumonia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vesicular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stomatitis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12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months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administrative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territory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4788DA62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A7E98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II.9.5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75586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сибірки,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бруцельозу,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лептоспірозу,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Ауєскі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анаеробних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інфекцій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3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місяців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господарстві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anthrax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brucellosis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leptospirosis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Aujeszky’s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anaerobic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infections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months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holding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42D19E99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EC03C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II.10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1A772" w14:textId="494FB76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виробництва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використовувалися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субпродукти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інша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великої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дрібної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рогатої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худоби,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також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м’ясне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м’ясо-кісткове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борошно,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отримані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країн,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зареєстровано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губчастоподібну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енпефалопатію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великої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рогатої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худоби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скрепі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овець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протягом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останніх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8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років;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by-products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frombovine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ovine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caprine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well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meat-and-bone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obtained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countries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bovine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spongiform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encephalopathy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scrapie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sheep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lastRenderedPageBreak/>
              <w:t>goats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reported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8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years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.;</w:t>
            </w:r>
          </w:p>
        </w:tc>
      </w:tr>
      <w:tr w:rsidR="001128FA" w:rsidRPr="00FE1A4F" w14:paraId="53A532B4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E39C8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lastRenderedPageBreak/>
              <w:t>II.11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BA491" w14:textId="123BB98C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сировина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оброблена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температури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нижче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133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°C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впродовж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менше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20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тиском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3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бари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оброблена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альтернативної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системи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термообробки,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забезпечує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відповідність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встановленим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мікробіологічним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показникам;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processed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temperature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lower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133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°C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least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20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minutes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pressure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3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bar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processed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alternative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treatment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system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ensures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compliance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microbiological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parameters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5564C1C1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7100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II.12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4F11A5" w14:textId="1849DC25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(сухі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консервовані)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вироблені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виключно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нижчезазначених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побічних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належать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III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категорії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України: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canned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exclusively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following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by-products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belong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category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III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  <w:tr w:rsidR="001128FA" w:rsidRPr="00FE1A4F" w14:paraId="27795225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9E8A6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II.12.1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EF27C" w14:textId="648F3854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туші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забитих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випадку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мисливської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здобичі,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цілі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впольовані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їх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придатні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але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зв’язку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комерційними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цілями;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carcasses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game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whole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hunted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their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fit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but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connection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commercial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purposes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27421DDD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119C6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II.12.2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6B3F1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туші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визнані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непридатними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виявлено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ознак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інфекційними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хворобами,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можуть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carcasses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recognized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unfit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infectious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transmitted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have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been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detected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6ED4E8B6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05DA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II.12.3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96D77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кров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нежуйних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виявляли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ознак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через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кров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тваринам,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забиті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бійні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результатами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передзабійного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огляду,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проведеного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контроль,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визнані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придатними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України;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blood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non-ruminant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show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transmitted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through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blood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slaughterhouse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based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results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ante-mortem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conducted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control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recognized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fit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Ukraine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67F840D4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09150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II.12.4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3AC5D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побічні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отримані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під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виготовлення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продуктів,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включаючи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знежирені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кістки,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шкварки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шлам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центрифуги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сепаратора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переробки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молока;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by-products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derived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manufacture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including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defatted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bones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greaves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centrifuge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separator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sludge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milk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processing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64378ABF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BE51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II.12.5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FDE7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харчові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містять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зв’язку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комерційними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цілями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через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проблеми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виробництва,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дефекти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упаковки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інші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дефекти,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становлять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загрози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здоров’я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foodstuffs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containing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commercial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reasons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due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problems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manufacturing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packaging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defects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defects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risk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public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health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arise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7293CAFC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D2AEB5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II.12.6.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5301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водні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їх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частини,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крім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морських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ссавців,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виявлено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ознак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інфекційними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хворобами,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можуть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тварині;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aquatic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thereof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except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sea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mammals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which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show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communicable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3A9C3560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F0874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II.12.7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41AFD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побічні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водних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походять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потужностей</w:t>
            </w:r>
            <w:proofErr w:type="spellEnd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здійснюють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виробництво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харчових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продуктів;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by-products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aquatic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originating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establishments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manufacturing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food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41FAB756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87912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lastRenderedPageBreak/>
              <w:t>II.12.8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96F2B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водні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наземні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безхребетні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(крім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видів,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збудниками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захворювань,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можуть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тваринам);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aquatic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terrestrial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invertebrates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(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species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pathogenic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);</w:t>
            </w:r>
          </w:p>
        </w:tc>
      </w:tr>
      <w:tr w:rsidR="001128FA" w:rsidRPr="00FE1A4F" w14:paraId="3843950D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83B9A" w14:textId="77777777" w:rsidR="001128FA" w:rsidRPr="00FE1A4F" w:rsidRDefault="001128FA" w:rsidP="00C23DC6">
            <w:pPr>
              <w:pStyle w:val="TableTABL"/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II.12.9</w:t>
            </w:r>
          </w:p>
          <w:p w14:paraId="35F36939" w14:textId="77777777" w:rsidR="001128FA" w:rsidRPr="00FE1A4F" w:rsidRDefault="001128FA" w:rsidP="00C23DC6">
            <w:pPr>
              <w:pStyle w:val="TableTABL"/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</w:pPr>
          </w:p>
          <w:p w14:paraId="56188739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II.12.10</w:t>
            </w:r>
          </w:p>
        </w:tc>
        <w:tc>
          <w:tcPr>
            <w:tcW w:w="4264" w:type="pct"/>
            <w:gridSpan w:val="18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8758B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черепашки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панцирі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молюсків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ракоподібних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м’якими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тканинами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м’ясом;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shells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molluscs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crustaceans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soft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tissues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meat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  <w:p w14:paraId="0D921530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жирова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тканина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не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мали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жодних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ознак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хвороби,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можуть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тваринам,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які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були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забиті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на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бійні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результатами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передзабійного</w:t>
            </w:r>
            <w:proofErr w:type="spellEnd"/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огляду,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проведеного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відповідно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вимог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законодавства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контроль,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визнані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придатними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забою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для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людиною;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fatty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tissue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show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disease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communicable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slaughterhouse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according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results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ante-mortem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carried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out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accordance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requirements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legislation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control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were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recognized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fit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;</w:t>
            </w:r>
          </w:p>
        </w:tc>
      </w:tr>
      <w:tr w:rsidR="001128FA" w:rsidRPr="00FE1A4F" w14:paraId="2232F222" w14:textId="77777777" w:rsidTr="007E286C">
        <w:trPr>
          <w:trHeight w:val="60"/>
        </w:trPr>
        <w:tc>
          <w:tcPr>
            <w:tcW w:w="736" w:type="pct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B9D98F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II.13</w:t>
            </w:r>
          </w:p>
        </w:tc>
        <w:tc>
          <w:tcPr>
            <w:tcW w:w="4264" w:type="pct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C0183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корми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моменту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переробки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зберігались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спосіб,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забезпечує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уникнення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забруднення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зараження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продукту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збудниками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захворювань,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що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можуть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передаватись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людям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або</w:t>
            </w:r>
            <w:r>
              <w:rPr>
                <w:rStyle w:val="Bold"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Style w:val="Bold"/>
                <w:bCs/>
                <w:spacing w:val="0"/>
                <w:sz w:val="22"/>
                <w:szCs w:val="22"/>
              </w:rPr>
              <w:t>тваринам./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feed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moment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processing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must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stored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a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manner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ensures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avoidance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contamination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infection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with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pathogens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transmitted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to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</w:p>
        </w:tc>
      </w:tr>
      <w:tr w:rsidR="001128FA" w:rsidRPr="00FE1A4F" w14:paraId="6726BFBF" w14:textId="77777777" w:rsidTr="00C501A9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391BE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Примітки: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Notes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302ADB4C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spacing w:val="0"/>
                <w:sz w:val="22"/>
                <w:szCs w:val="22"/>
                <w:vertAlign w:val="superscript"/>
              </w:rPr>
              <w:t>(1)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Побічні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не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для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людиною,—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туша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або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частини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туш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забитих,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загиблих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тварин,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сировина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продукти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тваринного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походження,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що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не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призначені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або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визнані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непридатними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для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споживання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людиною;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by-products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—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carcasses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parts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carcasses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slaughtered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dead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animals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raw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materials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products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animal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origin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that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not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intended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recognized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as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unfit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human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consumption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</w:p>
          <w:p w14:paraId="772BD211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Колір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підпису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печатки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має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відрізнятися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від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кольору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іншого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тексту.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colour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signature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seal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must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differ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from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colour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of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the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other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text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.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</w:tr>
      <w:tr w:rsidR="001128FA" w:rsidRPr="00FE1A4F" w14:paraId="6D23A5CF" w14:textId="77777777" w:rsidTr="00C501A9">
        <w:trPr>
          <w:trHeight w:val="60"/>
        </w:trPr>
        <w:tc>
          <w:tcPr>
            <w:tcW w:w="286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7000A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Державний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ветеринарний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інспектор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br/>
              <w:t>уповноважена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особа: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State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veterinary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inspector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br/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authorised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person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3FE970ED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Власне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ім’я,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ПРІЗВИЩЕ: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Name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,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spacing w:val="0"/>
                <w:sz w:val="22"/>
                <w:szCs w:val="22"/>
              </w:rPr>
              <w:t>SURNAME:</w:t>
            </w:r>
          </w:p>
          <w:p w14:paraId="799E0026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Дата: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Date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3D7899A8" w14:textId="77777777" w:rsidR="001128FA" w:rsidRPr="00FE1A4F" w:rsidRDefault="001128FA" w:rsidP="00C23DC6">
            <w:pPr>
              <w:pStyle w:val="TableTABL"/>
              <w:spacing w:before="57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Печатка: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Stamp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  <w:r>
              <w:rPr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21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B9294" w14:textId="77777777" w:rsidR="001128FA" w:rsidRPr="00FE1A4F" w:rsidRDefault="001128FA" w:rsidP="00C23DC6">
            <w:pPr>
              <w:pStyle w:val="TableTABL"/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Кваліфікація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та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посада: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</w:p>
          <w:p w14:paraId="0F231BB9" w14:textId="77777777" w:rsidR="001128FA" w:rsidRPr="00FE1A4F" w:rsidRDefault="001128FA" w:rsidP="00C23DC6">
            <w:pPr>
              <w:pStyle w:val="TableTABL"/>
              <w:rPr>
                <w:spacing w:val="0"/>
                <w:sz w:val="22"/>
                <w:szCs w:val="22"/>
              </w:rPr>
            </w:pPr>
            <w:proofErr w:type="spellStart"/>
            <w:r w:rsidRPr="00FE1A4F">
              <w:rPr>
                <w:spacing w:val="0"/>
                <w:sz w:val="22"/>
                <w:szCs w:val="22"/>
              </w:rPr>
              <w:t>Qualification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and</w:t>
            </w:r>
            <w:proofErr w:type="spellEnd"/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title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  <w:p w14:paraId="50EB4785" w14:textId="77777777" w:rsidR="001128FA" w:rsidRPr="00FE1A4F" w:rsidRDefault="001128FA" w:rsidP="00C23DC6">
            <w:pPr>
              <w:pStyle w:val="TableTABL"/>
              <w:spacing w:before="624"/>
              <w:rPr>
                <w:spacing w:val="0"/>
                <w:sz w:val="22"/>
                <w:szCs w:val="22"/>
              </w:rPr>
            </w:pP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Підпис:</w:t>
            </w:r>
            <w:r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 xml:space="preserve"> </w:t>
            </w:r>
            <w:r w:rsidRPr="00FE1A4F">
              <w:rPr>
                <w:rFonts w:ascii="HeliosCond-Bold" w:hAnsi="HeliosCond-Bold" w:cs="HeliosCond-Bold"/>
                <w:b/>
                <w:bCs/>
                <w:spacing w:val="0"/>
                <w:sz w:val="22"/>
                <w:szCs w:val="22"/>
              </w:rPr>
              <w:t>/</w:t>
            </w:r>
            <w:r>
              <w:rPr>
                <w:spacing w:val="0"/>
                <w:sz w:val="22"/>
                <w:szCs w:val="22"/>
              </w:rPr>
              <w:t xml:space="preserve"> </w:t>
            </w:r>
            <w:proofErr w:type="spellStart"/>
            <w:r w:rsidRPr="00FE1A4F">
              <w:rPr>
                <w:spacing w:val="0"/>
                <w:sz w:val="22"/>
                <w:szCs w:val="22"/>
              </w:rPr>
              <w:t>Signature</w:t>
            </w:r>
            <w:proofErr w:type="spellEnd"/>
            <w:r w:rsidRPr="00FE1A4F">
              <w:rPr>
                <w:spacing w:val="0"/>
                <w:sz w:val="22"/>
                <w:szCs w:val="22"/>
              </w:rPr>
              <w:t>:</w:t>
            </w:r>
          </w:p>
        </w:tc>
      </w:tr>
    </w:tbl>
    <w:p w14:paraId="0B9CF701" w14:textId="77777777" w:rsidR="00CF7388" w:rsidRDefault="00CF7388"/>
    <w:sectPr w:rsidR="00CF7388" w:rsidSect="00C501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251B" w14:textId="77777777" w:rsidR="00E97E84" w:rsidRDefault="00E97E84" w:rsidP="007754DB">
      <w:pPr>
        <w:spacing w:after="0" w:line="240" w:lineRule="auto"/>
      </w:pPr>
      <w:r>
        <w:separator/>
      </w:r>
    </w:p>
  </w:endnote>
  <w:endnote w:type="continuationSeparator" w:id="0">
    <w:p w14:paraId="59EB4A28" w14:textId="77777777" w:rsidR="00E97E84" w:rsidRDefault="00E97E84" w:rsidP="0077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4E7E" w14:textId="77777777" w:rsidR="00E97E84" w:rsidRDefault="00E97E84" w:rsidP="007754DB">
      <w:pPr>
        <w:spacing w:after="0" w:line="240" w:lineRule="auto"/>
      </w:pPr>
      <w:r>
        <w:separator/>
      </w:r>
    </w:p>
  </w:footnote>
  <w:footnote w:type="continuationSeparator" w:id="0">
    <w:p w14:paraId="7430EB52" w14:textId="77777777" w:rsidR="00E97E84" w:rsidRDefault="00E97E84" w:rsidP="00775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FA"/>
    <w:rsid w:val="000F14C2"/>
    <w:rsid w:val="001128FA"/>
    <w:rsid w:val="00164DE0"/>
    <w:rsid w:val="0039464F"/>
    <w:rsid w:val="0062620B"/>
    <w:rsid w:val="00752A56"/>
    <w:rsid w:val="007754DB"/>
    <w:rsid w:val="007E286C"/>
    <w:rsid w:val="00C501A9"/>
    <w:rsid w:val="00C866AE"/>
    <w:rsid w:val="00CF7388"/>
    <w:rsid w:val="00E97E84"/>
    <w:rsid w:val="00F653AB"/>
    <w:rsid w:val="00F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E8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FA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1128F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1128FA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1128FA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1128FA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1128FA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1128FA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1128FA"/>
  </w:style>
  <w:style w:type="paragraph" w:customStyle="1" w:styleId="a9">
    <w:name w:val="Тип акта (Общие:Базовые)"/>
    <w:basedOn w:val="a3"/>
    <w:uiPriority w:val="99"/>
    <w:rsid w:val="001128FA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1128FA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1128FA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1128FA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1128FA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1128FA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1128FA"/>
  </w:style>
  <w:style w:type="paragraph" w:customStyle="1" w:styleId="n7777">
    <w:name w:val="n7777 Название акта (Общие:Базовые)"/>
    <w:basedOn w:val="a3"/>
    <w:uiPriority w:val="99"/>
    <w:rsid w:val="001128FA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1128FA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1128FA"/>
  </w:style>
  <w:style w:type="paragraph" w:customStyle="1" w:styleId="n7777Ch2">
    <w:name w:val="n7777 Название акта (Ch_2 Президент)"/>
    <w:basedOn w:val="n7777Ch1"/>
    <w:next w:val="Ch2"/>
    <w:uiPriority w:val="99"/>
    <w:rsid w:val="001128FA"/>
  </w:style>
  <w:style w:type="paragraph" w:customStyle="1" w:styleId="n7777Ch3">
    <w:name w:val="n7777 Название акта (Ch_3 Кабмін)"/>
    <w:basedOn w:val="n7777Ch2"/>
    <w:next w:val="Ch3"/>
    <w:uiPriority w:val="99"/>
    <w:rsid w:val="001128FA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1128FA"/>
  </w:style>
  <w:style w:type="paragraph" w:customStyle="1" w:styleId="n7777Ch5">
    <w:name w:val="n7777 Название акта (Ch_5 Нацбанк)"/>
    <w:basedOn w:val="n7777Ch4"/>
    <w:next w:val="Ch5"/>
    <w:uiPriority w:val="99"/>
    <w:rsid w:val="001128FA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1128FA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1128FA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1128FA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1128FA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1128FA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1128FA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1128FA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1128FA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1128FA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1128FA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1128FA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1128FA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1128FA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1128FA"/>
    <w:pPr>
      <w:keepNext/>
      <w:keepLines/>
      <w:suppressAutoHyphens/>
      <w:ind w:left="4309"/>
    </w:pPr>
  </w:style>
  <w:style w:type="paragraph" w:customStyle="1" w:styleId="141Ch6">
    <w:name w:val="Затверджено_141 (Ch_6 Міністерства)"/>
    <w:basedOn w:val="af5"/>
    <w:uiPriority w:val="99"/>
    <w:rsid w:val="001128FA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f6">
    <w:name w:val="Заголовок Додатка (Общие:Базовые)"/>
    <w:basedOn w:val="a3"/>
    <w:uiPriority w:val="99"/>
    <w:rsid w:val="001128FA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1128FA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1128FA"/>
    <w:pPr>
      <w:spacing w:before="283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1128F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f5"/>
    <w:uiPriority w:val="99"/>
    <w:rsid w:val="001128FA"/>
    <w:pPr>
      <w:tabs>
        <w:tab w:val="clear" w:pos="6350"/>
        <w:tab w:val="right" w:leader="underscore" w:pos="7710"/>
      </w:tabs>
      <w:spacing w:before="397"/>
    </w:pPr>
  </w:style>
  <w:style w:type="paragraph" w:customStyle="1" w:styleId="StrokeCh6">
    <w:name w:val="Stroke (Ch_6 Міністерства)"/>
    <w:basedOn w:val="a3"/>
    <w:uiPriority w:val="99"/>
    <w:rsid w:val="001128F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8">
    <w:name w:val="Простой подзаголовок (Общие:Базовые)"/>
    <w:basedOn w:val="a3"/>
    <w:uiPriority w:val="99"/>
    <w:rsid w:val="001128FA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1128FA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  <w:rsid w:val="001128FA"/>
  </w:style>
  <w:style w:type="paragraph" w:customStyle="1" w:styleId="afa">
    <w:name w:val="Додаток № (Общие)"/>
    <w:basedOn w:val="af4"/>
    <w:uiPriority w:val="99"/>
    <w:rsid w:val="001128FA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1128FA"/>
    <w:pPr>
      <w:keepNext/>
    </w:pPr>
  </w:style>
  <w:style w:type="paragraph" w:customStyle="1" w:styleId="PrimitkiPRIMITKA">
    <w:name w:val="Primitki (PRIMITKA)"/>
    <w:basedOn w:val="a4"/>
    <w:uiPriority w:val="99"/>
    <w:rsid w:val="001128FA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1128FA"/>
    <w:pPr>
      <w:spacing w:before="142" w:after="142"/>
      <w:ind w:left="850" w:hanging="850"/>
    </w:pPr>
  </w:style>
  <w:style w:type="paragraph" w:customStyle="1" w:styleId="LineBase">
    <w:name w:val="Line_Base"/>
    <w:basedOn w:val="a4"/>
    <w:uiPriority w:val="99"/>
    <w:rsid w:val="001128FA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1128FA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реєстраційний код (Ch_6 Міністерства)"/>
    <w:basedOn w:val="a6"/>
    <w:next w:val="Ch6"/>
    <w:uiPriority w:val="99"/>
    <w:rsid w:val="001128FA"/>
  </w:style>
  <w:style w:type="paragraph" w:customStyle="1" w:styleId="SnoskaSNOSKI0">
    <w:name w:val="Snoska_цифра (SNOSKI)"/>
    <w:basedOn w:val="LineBase"/>
    <w:uiPriority w:val="99"/>
    <w:rsid w:val="001128FA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TABL">
    <w:name w:val="Таблиця № (TABL)"/>
    <w:basedOn w:val="a3"/>
    <w:uiPriority w:val="99"/>
    <w:rsid w:val="001128FA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1128FA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SnoskaSNOSKI1">
    <w:name w:val="Snoska*горизонт (SNOSKI)"/>
    <w:basedOn w:val="LineBase"/>
    <w:uiPriority w:val="99"/>
    <w:rsid w:val="001128FA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1128FA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1128FA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0"/>
    <w:next w:val="Ch10"/>
    <w:uiPriority w:val="99"/>
    <w:rsid w:val="001128FA"/>
  </w:style>
  <w:style w:type="paragraph" w:customStyle="1" w:styleId="Ch2">
    <w:name w:val="Преамбула (Ch_2 Президент)"/>
    <w:basedOn w:val="af0"/>
    <w:next w:val="a3"/>
    <w:uiPriority w:val="99"/>
    <w:rsid w:val="001128FA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1128FA"/>
  </w:style>
  <w:style w:type="paragraph" w:customStyle="1" w:styleId="Ch4">
    <w:name w:val="Преамбула (Ch_4 Конституційний Суд)"/>
    <w:basedOn w:val="af0"/>
    <w:next w:val="a3"/>
    <w:uiPriority w:val="99"/>
    <w:rsid w:val="001128FA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1128FA"/>
  </w:style>
  <w:style w:type="paragraph" w:customStyle="1" w:styleId="afb">
    <w:name w:val="подпись: место"/>
    <w:aliases w:val="дата,№ (Общие:Базовые)"/>
    <w:basedOn w:val="a4"/>
    <w:uiPriority w:val="99"/>
    <w:rsid w:val="001128FA"/>
  </w:style>
  <w:style w:type="paragraph" w:customStyle="1" w:styleId="2">
    <w:name w:val="подпись: место2"/>
    <w:aliases w:val="дата2,№ (Общие)"/>
    <w:basedOn w:val="afb"/>
    <w:uiPriority w:val="99"/>
    <w:rsid w:val="001128FA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1128FA"/>
  </w:style>
  <w:style w:type="paragraph" w:customStyle="1" w:styleId="afc">
    <w:name w:val="Раздел (Общие:Базовые)"/>
    <w:basedOn w:val="a3"/>
    <w:uiPriority w:val="99"/>
    <w:rsid w:val="001128FA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1128FA"/>
  </w:style>
  <w:style w:type="paragraph" w:customStyle="1" w:styleId="afd">
    <w:name w:val="Глава (Общие:Базовые)"/>
    <w:basedOn w:val="a3"/>
    <w:uiPriority w:val="99"/>
    <w:rsid w:val="001128FA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1128FA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1128FA"/>
  </w:style>
  <w:style w:type="paragraph" w:customStyle="1" w:styleId="aff">
    <w:name w:val="Стаття (Общие:Базовые)"/>
    <w:basedOn w:val="a4"/>
    <w:uiPriority w:val="99"/>
    <w:rsid w:val="001128FA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1128FA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1128FA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1128FA"/>
    <w:rPr>
      <w:b/>
      <w:u w:val="none"/>
      <w:vertAlign w:val="baseline"/>
    </w:rPr>
  </w:style>
  <w:style w:type="character" w:customStyle="1" w:styleId="bold0">
    <w:name w:val="bold"/>
    <w:uiPriority w:val="99"/>
    <w:rsid w:val="001128FA"/>
    <w:rPr>
      <w:b/>
    </w:rPr>
  </w:style>
  <w:style w:type="character" w:customStyle="1" w:styleId="500">
    <w:name w:val="500"/>
    <w:uiPriority w:val="99"/>
    <w:rsid w:val="001128FA"/>
  </w:style>
  <w:style w:type="character" w:customStyle="1" w:styleId="Postanovla">
    <w:name w:val="Postanovla"/>
    <w:uiPriority w:val="99"/>
    <w:rsid w:val="001128FA"/>
  </w:style>
  <w:style w:type="character" w:customStyle="1" w:styleId="superscript">
    <w:name w:val="superscript"/>
    <w:uiPriority w:val="99"/>
    <w:rsid w:val="001128FA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1128FA"/>
  </w:style>
  <w:style w:type="character" w:customStyle="1" w:styleId="aff1">
    <w:name w:val="Градус (Вспомогательные)"/>
    <w:uiPriority w:val="99"/>
    <w:rsid w:val="001128FA"/>
    <w:rPr>
      <w:rFonts w:ascii="HeliosCond" w:hAnsi="HeliosCond"/>
    </w:rPr>
  </w:style>
  <w:style w:type="character" w:customStyle="1" w:styleId="aff2">
    <w:name w:val="звездочка"/>
    <w:uiPriority w:val="99"/>
    <w:rsid w:val="001128FA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1128FA"/>
  </w:style>
  <w:style w:type="character" w:customStyle="1" w:styleId="10">
    <w:name w:val="Стиль символа 1 (Вспомогательные)"/>
    <w:uiPriority w:val="99"/>
    <w:rsid w:val="001128FA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1128FA"/>
    <w:rPr>
      <w:b/>
    </w:rPr>
  </w:style>
  <w:style w:type="character" w:customStyle="1" w:styleId="200">
    <w:name w:val="В р а з р я д к у 200 (Вспомогательные)"/>
    <w:uiPriority w:val="99"/>
    <w:rsid w:val="001128FA"/>
  </w:style>
  <w:style w:type="character" w:customStyle="1" w:styleId="aff3">
    <w:name w:val="Широкий пробел (Вспомогательные)"/>
    <w:uiPriority w:val="99"/>
    <w:rsid w:val="001128FA"/>
  </w:style>
  <w:style w:type="character" w:customStyle="1" w:styleId="aff4">
    <w:name w:val="Обычный пробел (Вспомогательные)"/>
    <w:uiPriority w:val="99"/>
    <w:rsid w:val="001128FA"/>
  </w:style>
  <w:style w:type="character" w:customStyle="1" w:styleId="14pt">
    <w:name w:val="Отбивка 14pt (Вспомогательные)"/>
    <w:uiPriority w:val="99"/>
    <w:rsid w:val="001128FA"/>
  </w:style>
  <w:style w:type="character" w:customStyle="1" w:styleId="UPPER">
    <w:name w:val="UPPER (Вспомогательные)"/>
    <w:uiPriority w:val="99"/>
    <w:rsid w:val="001128FA"/>
    <w:rPr>
      <w:caps/>
    </w:rPr>
  </w:style>
  <w:style w:type="character" w:customStyle="1" w:styleId="Regular">
    <w:name w:val="Regular (Вспомогательные)"/>
    <w:uiPriority w:val="99"/>
    <w:rsid w:val="001128FA"/>
  </w:style>
  <w:style w:type="character" w:customStyle="1" w:styleId="aff5">
    <w:name w:val="звездочка в сноске"/>
    <w:uiPriority w:val="99"/>
    <w:rsid w:val="001128FA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1128FA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1128FA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1128FA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1128FA"/>
    <w:rPr>
      <w:w w:val="120"/>
    </w:rPr>
  </w:style>
  <w:style w:type="character" w:customStyle="1" w:styleId="Italic">
    <w:name w:val="Italic (Вспомогательные)"/>
    <w:uiPriority w:val="99"/>
    <w:rsid w:val="001128FA"/>
    <w:rPr>
      <w:i/>
    </w:rPr>
  </w:style>
  <w:style w:type="character" w:customStyle="1" w:styleId="CAPS">
    <w:name w:val="CAPS"/>
    <w:uiPriority w:val="99"/>
    <w:rsid w:val="001128FA"/>
    <w:rPr>
      <w:caps/>
    </w:rPr>
  </w:style>
  <w:style w:type="character" w:customStyle="1" w:styleId="XXXX">
    <w:name w:val="XXXX"/>
    <w:uiPriority w:val="99"/>
    <w:rsid w:val="001128FA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7754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7754DB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7754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7754DB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2026-04-14T15:04:00Z</dcterms:created>
  <dcterms:modified xsi:type="dcterms:W3CDTF">2026-04-15T07:14:00Z</dcterms:modified>
</cp:coreProperties>
</file>