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823D" w14:textId="77777777" w:rsidR="00375B83" w:rsidRPr="00E118E1" w:rsidRDefault="00375B83" w:rsidP="00375B83">
      <w:pPr>
        <w:ind w:left="5760" w:right="-5"/>
        <w:jc w:val="right"/>
        <w:rPr>
          <w:sz w:val="28"/>
          <w:szCs w:val="28"/>
          <w:lang w:val="uk-UA"/>
        </w:rPr>
      </w:pPr>
      <w:r w:rsidRPr="00E118E1">
        <w:rPr>
          <w:sz w:val="28"/>
          <w:szCs w:val="28"/>
          <w:lang w:val="uk-UA"/>
        </w:rPr>
        <w:t>Фітосанітарний стан</w:t>
      </w:r>
    </w:p>
    <w:p w14:paraId="4C9136A6" w14:textId="77777777" w:rsidR="00375B83" w:rsidRPr="00E118E1" w:rsidRDefault="00375B83" w:rsidP="00375B83">
      <w:pPr>
        <w:ind w:left="-360" w:right="-5" w:firstLine="360"/>
        <w:jc w:val="right"/>
        <w:rPr>
          <w:sz w:val="28"/>
          <w:szCs w:val="28"/>
          <w:lang w:val="uk-UA"/>
        </w:rPr>
      </w:pPr>
      <w:r w:rsidRPr="00E118E1">
        <w:rPr>
          <w:sz w:val="28"/>
          <w:szCs w:val="28"/>
          <w:lang w:val="uk-UA"/>
        </w:rPr>
        <w:t>сільськогосподарських рослин</w:t>
      </w:r>
    </w:p>
    <w:p w14:paraId="79EA6BFF" w14:textId="437153B8" w:rsidR="00375B83" w:rsidRPr="00E118E1" w:rsidRDefault="002259EA" w:rsidP="00375B83">
      <w:pPr>
        <w:ind w:left="-360" w:right="-5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375B83" w:rsidRPr="00E118E1">
        <w:rPr>
          <w:sz w:val="28"/>
          <w:szCs w:val="28"/>
          <w:lang w:val="uk-UA"/>
        </w:rPr>
        <w:t xml:space="preserve"> січня 20</w:t>
      </w:r>
      <w:r>
        <w:rPr>
          <w:sz w:val="28"/>
          <w:szCs w:val="28"/>
          <w:lang w:val="uk-UA"/>
        </w:rPr>
        <w:t>26</w:t>
      </w:r>
      <w:r w:rsidR="00375B83" w:rsidRPr="00E118E1">
        <w:rPr>
          <w:sz w:val="28"/>
          <w:szCs w:val="28"/>
          <w:lang w:val="uk-UA"/>
        </w:rPr>
        <w:t xml:space="preserve"> року</w:t>
      </w:r>
    </w:p>
    <w:p w14:paraId="3565B007" w14:textId="77777777" w:rsidR="00375B83" w:rsidRDefault="00375B83" w:rsidP="002259EA">
      <w:pPr>
        <w:spacing w:line="360" w:lineRule="auto"/>
        <w:ind w:right="-5"/>
        <w:jc w:val="both"/>
        <w:rPr>
          <w:sz w:val="28"/>
          <w:szCs w:val="28"/>
          <w:lang w:val="uk-UA"/>
        </w:rPr>
      </w:pPr>
    </w:p>
    <w:p w14:paraId="2102BF0F" w14:textId="5D20D677" w:rsidR="00DB6C92" w:rsidRPr="00DB6C92" w:rsidRDefault="00DB6C92" w:rsidP="00390B39">
      <w:pPr>
        <w:spacing w:line="278" w:lineRule="auto"/>
        <w:ind w:firstLine="851"/>
        <w:jc w:val="both"/>
        <w:rPr>
          <w:rFonts w:eastAsia="Aptos"/>
          <w:kern w:val="2"/>
          <w:sz w:val="28"/>
          <w:szCs w:val="28"/>
          <w:lang w:val="uk-UA" w:eastAsia="en-US"/>
          <w14:ligatures w14:val="standardContextual"/>
        </w:rPr>
      </w:pPr>
      <w:r w:rsidRPr="00DB6C92">
        <w:rPr>
          <w:rFonts w:eastAsia="Aptos"/>
          <w:kern w:val="2"/>
          <w:sz w:val="28"/>
          <w:szCs w:val="28"/>
          <w:lang w:val="uk-UA" w:eastAsia="en-US"/>
          <w14:ligatures w14:val="standardContextual"/>
        </w:rPr>
        <w:t>Озимі культури на всій території країни перебува</w:t>
      </w:r>
      <w:r w:rsidR="00390B39">
        <w:rPr>
          <w:rFonts w:eastAsia="Aptos"/>
          <w:kern w:val="2"/>
          <w:sz w:val="28"/>
          <w:szCs w:val="28"/>
          <w:lang w:val="uk-UA" w:eastAsia="en-US"/>
          <w14:ligatures w14:val="standardContextual"/>
        </w:rPr>
        <w:t>ють</w:t>
      </w:r>
      <w:r w:rsidRPr="00DB6C92">
        <w:rPr>
          <w:rFonts w:eastAsia="Aptos"/>
          <w:kern w:val="2"/>
          <w:sz w:val="28"/>
          <w:szCs w:val="28"/>
          <w:lang w:val="uk-UA" w:eastAsia="en-US"/>
          <w14:ligatures w14:val="standardContextual"/>
        </w:rPr>
        <w:t xml:space="preserve"> у стані зимового спокою.</w:t>
      </w:r>
      <w:r w:rsidR="00390B39">
        <w:rPr>
          <w:rFonts w:eastAsia="Aptos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Pr="00DB6C92">
        <w:rPr>
          <w:rFonts w:eastAsia="Aptos"/>
          <w:kern w:val="2"/>
          <w:sz w:val="28"/>
          <w:szCs w:val="28"/>
          <w:lang w:val="uk-UA" w:eastAsia="en-US"/>
          <w14:ligatures w14:val="standardContextual"/>
        </w:rPr>
        <w:t xml:space="preserve">Загрозливих явищ для перезимівлі озимих та плодових культур не спостерігалося. Мінімальна температура ґрунту на глибині залягання вузла кущіння (3 см) озимих культур та багаторічних трав знижувалася до мінус </w:t>
      </w:r>
      <w:r w:rsidR="00390B39">
        <w:rPr>
          <w:rFonts w:eastAsia="Aptos"/>
          <w:kern w:val="2"/>
          <w:sz w:val="28"/>
          <w:szCs w:val="28"/>
          <w:lang w:val="uk-UA" w:eastAsia="en-US"/>
          <w14:ligatures w14:val="standardContextual"/>
        </w:rPr>
        <w:t xml:space="preserve">       </w:t>
      </w:r>
      <w:r w:rsidRPr="00DB6C92">
        <w:rPr>
          <w:rFonts w:eastAsia="Aptos"/>
          <w:kern w:val="2"/>
          <w:sz w:val="28"/>
          <w:szCs w:val="28"/>
          <w:lang w:val="uk-UA" w:eastAsia="en-US"/>
          <w14:ligatures w14:val="standardContextual"/>
        </w:rPr>
        <w:t>3-9°C, що значно вище критичної температури вимерзання.</w:t>
      </w:r>
    </w:p>
    <w:p w14:paraId="4AFB8A12" w14:textId="24A2EDBE" w:rsidR="00423C9D" w:rsidRDefault="002259EA" w:rsidP="00390B39">
      <w:pPr>
        <w:ind w:right="-185" w:firstLine="851"/>
        <w:jc w:val="both"/>
        <w:rPr>
          <w:sz w:val="28"/>
          <w:szCs w:val="28"/>
          <w:lang w:val="uk-UA"/>
        </w:rPr>
      </w:pPr>
      <w:r w:rsidRPr="001E24DB">
        <w:rPr>
          <w:sz w:val="28"/>
          <w:szCs w:val="28"/>
          <w:lang w:val="uk-UA"/>
        </w:rPr>
        <w:t>Негативний вплив погодних умов (</w:t>
      </w:r>
      <w:r w:rsidR="001E24DB">
        <w:rPr>
          <w:sz w:val="28"/>
          <w:szCs w:val="28"/>
          <w:lang w:val="uk-UA"/>
        </w:rPr>
        <w:t>прохолодна погода, опади у вигляді снігу,</w:t>
      </w:r>
      <w:r w:rsidR="00DA3E15">
        <w:rPr>
          <w:sz w:val="28"/>
          <w:szCs w:val="28"/>
          <w:lang w:val="uk-UA"/>
        </w:rPr>
        <w:t xml:space="preserve"> дощу,</w:t>
      </w:r>
      <w:r w:rsidR="001E24DB">
        <w:rPr>
          <w:sz w:val="28"/>
          <w:szCs w:val="28"/>
          <w:lang w:val="uk-UA"/>
        </w:rPr>
        <w:t xml:space="preserve"> </w:t>
      </w:r>
      <w:r w:rsidRPr="001E24DB">
        <w:rPr>
          <w:sz w:val="28"/>
          <w:szCs w:val="28"/>
          <w:lang w:val="uk-UA"/>
        </w:rPr>
        <w:t xml:space="preserve">ущільнення снігового покриву, </w:t>
      </w:r>
      <w:r w:rsidR="001E24DB">
        <w:rPr>
          <w:sz w:val="28"/>
          <w:szCs w:val="28"/>
          <w:lang w:val="uk-UA"/>
        </w:rPr>
        <w:t xml:space="preserve">подекуди </w:t>
      </w:r>
      <w:r w:rsidRPr="001E24DB">
        <w:rPr>
          <w:sz w:val="28"/>
          <w:szCs w:val="28"/>
          <w:lang w:val="uk-UA"/>
        </w:rPr>
        <w:t xml:space="preserve">утворення крижаної кірки) в значній мірі позначився на життєдіяльності та шкідливості </w:t>
      </w:r>
      <w:r w:rsidRPr="001E24DB">
        <w:rPr>
          <w:b/>
          <w:sz w:val="28"/>
          <w:szCs w:val="28"/>
          <w:lang w:val="uk-UA"/>
        </w:rPr>
        <w:t>мишоподібних гризунів</w:t>
      </w:r>
      <w:r w:rsidRPr="001E24DB">
        <w:rPr>
          <w:sz w:val="28"/>
          <w:szCs w:val="28"/>
          <w:lang w:val="uk-UA"/>
        </w:rPr>
        <w:t>, зокрема</w:t>
      </w:r>
      <w:r w:rsidRPr="001E24DB">
        <w:rPr>
          <w:b/>
          <w:sz w:val="28"/>
          <w:szCs w:val="28"/>
          <w:lang w:val="uk-UA"/>
        </w:rPr>
        <w:t xml:space="preserve"> звичайної </w:t>
      </w:r>
      <w:r w:rsidRPr="001E24DB">
        <w:rPr>
          <w:sz w:val="28"/>
          <w:szCs w:val="28"/>
          <w:lang w:val="uk-UA"/>
        </w:rPr>
        <w:t xml:space="preserve">та </w:t>
      </w:r>
      <w:r w:rsidRPr="001E24DB">
        <w:rPr>
          <w:b/>
          <w:sz w:val="28"/>
          <w:szCs w:val="28"/>
          <w:lang w:val="uk-UA"/>
        </w:rPr>
        <w:t>гуртової полівок</w:t>
      </w:r>
      <w:r w:rsidRPr="001E24DB">
        <w:rPr>
          <w:bCs/>
          <w:sz w:val="28"/>
          <w:szCs w:val="28"/>
          <w:lang w:val="uk-UA"/>
        </w:rPr>
        <w:t xml:space="preserve">, </w:t>
      </w:r>
      <w:r w:rsidRPr="001E24DB">
        <w:rPr>
          <w:sz w:val="28"/>
          <w:szCs w:val="28"/>
          <w:lang w:val="uk-UA"/>
        </w:rPr>
        <w:t xml:space="preserve">які на більшості площ </w:t>
      </w:r>
      <w:r w:rsidRPr="001E24DB">
        <w:rPr>
          <w:b/>
          <w:i/>
          <w:sz w:val="28"/>
          <w:szCs w:val="28"/>
          <w:lang w:val="uk-UA"/>
        </w:rPr>
        <w:t>озимих</w:t>
      </w:r>
      <w:r w:rsidRPr="001E24DB">
        <w:rPr>
          <w:sz w:val="28"/>
          <w:szCs w:val="28"/>
          <w:lang w:val="uk-UA"/>
        </w:rPr>
        <w:t xml:space="preserve"> культур, </w:t>
      </w:r>
      <w:r w:rsidRPr="001E24DB">
        <w:rPr>
          <w:b/>
          <w:i/>
          <w:sz w:val="28"/>
          <w:szCs w:val="28"/>
          <w:lang w:val="uk-UA"/>
        </w:rPr>
        <w:t>багаторічних трав</w:t>
      </w:r>
      <w:r w:rsidR="006A25F7" w:rsidRPr="006A25F7">
        <w:rPr>
          <w:bCs/>
          <w:iCs/>
          <w:sz w:val="28"/>
          <w:szCs w:val="28"/>
          <w:lang w:val="uk-UA"/>
        </w:rPr>
        <w:t>,</w:t>
      </w:r>
      <w:r w:rsidR="006A25F7">
        <w:rPr>
          <w:b/>
          <w:i/>
          <w:sz w:val="28"/>
          <w:szCs w:val="28"/>
          <w:lang w:val="uk-UA"/>
        </w:rPr>
        <w:t xml:space="preserve"> неорних земель </w:t>
      </w:r>
      <w:r w:rsidRPr="001E24DB">
        <w:rPr>
          <w:sz w:val="28"/>
          <w:szCs w:val="28"/>
          <w:lang w:val="uk-UA"/>
        </w:rPr>
        <w:t xml:space="preserve">південних, центральних, західних областей зберігаються </w:t>
      </w:r>
      <w:r w:rsidR="001E24DB">
        <w:rPr>
          <w:sz w:val="28"/>
          <w:szCs w:val="28"/>
          <w:lang w:val="uk-UA"/>
        </w:rPr>
        <w:t xml:space="preserve">від поодиноких </w:t>
      </w:r>
      <w:proofErr w:type="spellStart"/>
      <w:r w:rsidR="001E24DB">
        <w:rPr>
          <w:sz w:val="28"/>
          <w:szCs w:val="28"/>
          <w:lang w:val="uk-UA"/>
        </w:rPr>
        <w:t>нір</w:t>
      </w:r>
      <w:proofErr w:type="spellEnd"/>
      <w:r w:rsidR="001E24DB">
        <w:rPr>
          <w:sz w:val="28"/>
          <w:szCs w:val="28"/>
          <w:lang w:val="uk-UA"/>
        </w:rPr>
        <w:t xml:space="preserve"> до</w:t>
      </w:r>
      <w:r w:rsidRPr="001E24DB">
        <w:rPr>
          <w:sz w:val="28"/>
          <w:szCs w:val="28"/>
          <w:lang w:val="uk-UA"/>
        </w:rPr>
        <w:t xml:space="preserve"> 1-3, </w:t>
      </w:r>
      <w:r w:rsidR="001E24DB">
        <w:rPr>
          <w:sz w:val="28"/>
          <w:szCs w:val="28"/>
          <w:lang w:val="uk-UA"/>
        </w:rPr>
        <w:t>подекуди</w:t>
      </w:r>
      <w:r w:rsidRPr="001E24DB">
        <w:rPr>
          <w:sz w:val="28"/>
          <w:szCs w:val="28"/>
          <w:lang w:val="uk-UA"/>
        </w:rPr>
        <w:t xml:space="preserve"> </w:t>
      </w:r>
      <w:r w:rsidR="006A25F7">
        <w:rPr>
          <w:sz w:val="28"/>
          <w:szCs w:val="28"/>
          <w:lang w:val="uk-UA"/>
        </w:rPr>
        <w:t>4</w:t>
      </w:r>
      <w:r w:rsidR="00541CBE">
        <w:rPr>
          <w:sz w:val="28"/>
          <w:szCs w:val="28"/>
          <w:lang w:val="uk-UA"/>
        </w:rPr>
        <w:t>-5</w:t>
      </w:r>
      <w:r w:rsidRPr="001E24DB">
        <w:rPr>
          <w:sz w:val="28"/>
          <w:szCs w:val="28"/>
          <w:lang w:val="uk-UA"/>
        </w:rPr>
        <w:t xml:space="preserve"> жилих колоній</w:t>
      </w:r>
      <w:r w:rsidR="00541CBE">
        <w:rPr>
          <w:sz w:val="28"/>
          <w:szCs w:val="28"/>
          <w:lang w:val="uk-UA"/>
        </w:rPr>
        <w:t xml:space="preserve"> на гектар</w:t>
      </w:r>
      <w:r w:rsidR="004870DC">
        <w:rPr>
          <w:sz w:val="28"/>
          <w:szCs w:val="28"/>
          <w:lang w:val="uk-UA"/>
        </w:rPr>
        <w:t>і</w:t>
      </w:r>
      <w:r w:rsidR="00541CBE">
        <w:rPr>
          <w:sz w:val="28"/>
          <w:szCs w:val="28"/>
          <w:lang w:val="uk-UA"/>
        </w:rPr>
        <w:t xml:space="preserve"> (Дніпропетровська, </w:t>
      </w:r>
      <w:r w:rsidR="00C7402F">
        <w:rPr>
          <w:sz w:val="28"/>
          <w:szCs w:val="28"/>
          <w:lang w:val="uk-UA"/>
        </w:rPr>
        <w:t xml:space="preserve">Київська, </w:t>
      </w:r>
      <w:r w:rsidR="00541CBE">
        <w:rPr>
          <w:sz w:val="28"/>
          <w:szCs w:val="28"/>
          <w:lang w:val="uk-UA"/>
        </w:rPr>
        <w:t>Одеська обл.)</w:t>
      </w:r>
      <w:r w:rsidRPr="001E24DB">
        <w:rPr>
          <w:sz w:val="28"/>
          <w:szCs w:val="28"/>
          <w:lang w:val="uk-UA"/>
        </w:rPr>
        <w:t xml:space="preserve">. Активного розмноження, розселення гризунів не відмічається. </w:t>
      </w:r>
    </w:p>
    <w:p w14:paraId="4B4193B3" w14:textId="290B6E9F" w:rsidR="00401DB6" w:rsidRDefault="00401DB6" w:rsidP="00390B39">
      <w:pPr>
        <w:ind w:right="-6" w:firstLine="720"/>
        <w:jc w:val="both"/>
        <w:rPr>
          <w:sz w:val="28"/>
          <w:szCs w:val="28"/>
          <w:lang w:val="uk-UA"/>
        </w:rPr>
      </w:pPr>
      <w:r w:rsidRPr="00401DB6">
        <w:rPr>
          <w:sz w:val="28"/>
          <w:szCs w:val="28"/>
          <w:lang w:val="uk-UA"/>
        </w:rPr>
        <w:t xml:space="preserve">Скрізь продовжується обстеження зерносховищ і складських приміщень, перевірка зерна і </w:t>
      </w:r>
      <w:proofErr w:type="spellStart"/>
      <w:r w:rsidRPr="00401DB6">
        <w:rPr>
          <w:sz w:val="28"/>
          <w:szCs w:val="28"/>
          <w:lang w:val="uk-UA"/>
        </w:rPr>
        <w:t>зернопродуктів</w:t>
      </w:r>
      <w:proofErr w:type="spellEnd"/>
      <w:r w:rsidRPr="00401DB6">
        <w:rPr>
          <w:sz w:val="28"/>
          <w:szCs w:val="28"/>
          <w:lang w:val="uk-UA"/>
        </w:rPr>
        <w:t xml:space="preserve"> на наявність </w:t>
      </w:r>
      <w:r w:rsidRPr="00401DB6">
        <w:rPr>
          <w:b/>
          <w:bCs/>
          <w:sz w:val="28"/>
          <w:szCs w:val="28"/>
          <w:lang w:val="uk-UA"/>
        </w:rPr>
        <w:t>комірних</w:t>
      </w:r>
      <w:r w:rsidRPr="00401DB6">
        <w:rPr>
          <w:sz w:val="28"/>
          <w:szCs w:val="28"/>
          <w:lang w:val="uk-UA"/>
        </w:rPr>
        <w:t xml:space="preserve"> шкідників. У переважній більшості зразків шкідників не виявлено</w:t>
      </w:r>
      <w:r>
        <w:rPr>
          <w:sz w:val="28"/>
          <w:szCs w:val="28"/>
          <w:lang w:val="uk-UA"/>
        </w:rPr>
        <w:t>, лише у</w:t>
      </w:r>
      <w:r w:rsidRPr="001E24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Вінницькій, Волинській, Рівненській, Тернопільській, </w:t>
      </w:r>
      <w:proofErr w:type="spellStart"/>
      <w:r>
        <w:rPr>
          <w:sz w:val="28"/>
          <w:szCs w:val="28"/>
          <w:lang w:val="uk-UA"/>
        </w:rPr>
        <w:t>Хмельницькіі</w:t>
      </w:r>
      <w:proofErr w:type="spellEnd"/>
      <w:r>
        <w:rPr>
          <w:sz w:val="28"/>
          <w:szCs w:val="28"/>
          <w:lang w:val="uk-UA"/>
        </w:rPr>
        <w:t xml:space="preserve">, </w:t>
      </w:r>
      <w:r w:rsidRPr="001E24DB">
        <w:rPr>
          <w:sz w:val="28"/>
          <w:szCs w:val="28"/>
          <w:lang w:val="uk-UA"/>
        </w:rPr>
        <w:t>Черкаськ</w:t>
      </w:r>
      <w:r>
        <w:rPr>
          <w:sz w:val="28"/>
          <w:szCs w:val="28"/>
          <w:lang w:val="uk-UA"/>
        </w:rPr>
        <w:t xml:space="preserve">ій </w:t>
      </w:r>
      <w:r w:rsidRPr="001E24DB">
        <w:rPr>
          <w:sz w:val="28"/>
          <w:szCs w:val="28"/>
          <w:lang w:val="uk-UA"/>
        </w:rPr>
        <w:t>област</w:t>
      </w:r>
      <w:r>
        <w:rPr>
          <w:sz w:val="28"/>
          <w:szCs w:val="28"/>
          <w:lang w:val="uk-UA"/>
        </w:rPr>
        <w:t>ях</w:t>
      </w:r>
      <w:r w:rsidRPr="001E24DB">
        <w:rPr>
          <w:sz w:val="28"/>
          <w:szCs w:val="28"/>
          <w:lang w:val="uk-UA"/>
        </w:rPr>
        <w:t xml:space="preserve"> у відібраних зразках </w:t>
      </w:r>
      <w:r w:rsidRPr="000C10BC">
        <w:rPr>
          <w:b/>
          <w:bCs/>
          <w:i/>
          <w:iCs/>
          <w:sz w:val="28"/>
          <w:szCs w:val="28"/>
          <w:lang w:val="uk-UA"/>
        </w:rPr>
        <w:t xml:space="preserve">ярої </w:t>
      </w:r>
      <w:r w:rsidRPr="001E24DB">
        <w:rPr>
          <w:sz w:val="28"/>
          <w:szCs w:val="28"/>
          <w:lang w:val="uk-UA"/>
        </w:rPr>
        <w:t xml:space="preserve">та </w:t>
      </w:r>
      <w:r w:rsidRPr="000C10BC">
        <w:rPr>
          <w:b/>
          <w:bCs/>
          <w:i/>
          <w:iCs/>
          <w:sz w:val="28"/>
          <w:szCs w:val="28"/>
          <w:lang w:val="uk-UA"/>
        </w:rPr>
        <w:t>озимої пшениці</w:t>
      </w:r>
      <w:r w:rsidRPr="001E24DB">
        <w:rPr>
          <w:sz w:val="28"/>
          <w:szCs w:val="28"/>
          <w:lang w:val="uk-UA"/>
        </w:rPr>
        <w:t xml:space="preserve">, </w:t>
      </w:r>
      <w:r w:rsidRPr="000C10BC">
        <w:rPr>
          <w:b/>
          <w:bCs/>
          <w:i/>
          <w:iCs/>
          <w:sz w:val="28"/>
          <w:szCs w:val="28"/>
          <w:lang w:val="uk-UA"/>
        </w:rPr>
        <w:t>ячменю</w:t>
      </w:r>
      <w:r>
        <w:rPr>
          <w:sz w:val="28"/>
          <w:szCs w:val="28"/>
          <w:lang w:val="uk-UA"/>
        </w:rPr>
        <w:t xml:space="preserve">, </w:t>
      </w:r>
      <w:r w:rsidRPr="000C10BC">
        <w:rPr>
          <w:b/>
          <w:bCs/>
          <w:i/>
          <w:iCs/>
          <w:sz w:val="28"/>
          <w:szCs w:val="28"/>
          <w:lang w:val="uk-UA"/>
        </w:rPr>
        <w:t>вівсу</w:t>
      </w:r>
      <w:r w:rsidRPr="00DA3E15">
        <w:rPr>
          <w:sz w:val="28"/>
          <w:szCs w:val="28"/>
          <w:lang w:val="uk-UA"/>
        </w:rPr>
        <w:t>,</w:t>
      </w:r>
      <w:r>
        <w:rPr>
          <w:b/>
          <w:bCs/>
          <w:i/>
          <w:iCs/>
          <w:sz w:val="28"/>
          <w:szCs w:val="28"/>
          <w:lang w:val="uk-UA"/>
        </w:rPr>
        <w:t xml:space="preserve"> сої</w:t>
      </w:r>
      <w:r w:rsidRPr="00DA3E15">
        <w:rPr>
          <w:sz w:val="28"/>
          <w:szCs w:val="28"/>
          <w:lang w:val="uk-UA"/>
        </w:rPr>
        <w:t xml:space="preserve">, </w:t>
      </w:r>
      <w:r>
        <w:rPr>
          <w:b/>
          <w:bCs/>
          <w:i/>
          <w:iCs/>
          <w:sz w:val="28"/>
          <w:szCs w:val="28"/>
          <w:lang w:val="uk-UA"/>
        </w:rPr>
        <w:t>гороху</w:t>
      </w:r>
      <w:r w:rsidRPr="00DA3E15">
        <w:rPr>
          <w:sz w:val="28"/>
          <w:szCs w:val="28"/>
          <w:lang w:val="uk-UA"/>
        </w:rPr>
        <w:t>,</w:t>
      </w:r>
      <w:r>
        <w:rPr>
          <w:b/>
          <w:bCs/>
          <w:i/>
          <w:iCs/>
          <w:sz w:val="28"/>
          <w:szCs w:val="28"/>
          <w:lang w:val="uk-UA"/>
        </w:rPr>
        <w:t xml:space="preserve"> гречки</w:t>
      </w:r>
      <w:r w:rsidRPr="001E24DB">
        <w:rPr>
          <w:sz w:val="28"/>
          <w:szCs w:val="28"/>
          <w:lang w:val="uk-UA"/>
        </w:rPr>
        <w:t xml:space="preserve"> виявлено заселеність збіжжя </w:t>
      </w:r>
      <w:r w:rsidRPr="001E24DB">
        <w:rPr>
          <w:b/>
          <w:sz w:val="28"/>
          <w:szCs w:val="28"/>
          <w:lang w:val="uk-UA"/>
        </w:rPr>
        <w:t>комірними довгоносиками</w:t>
      </w:r>
      <w:r w:rsidRPr="001E24DB">
        <w:rPr>
          <w:sz w:val="28"/>
          <w:szCs w:val="28"/>
          <w:lang w:val="uk-UA"/>
        </w:rPr>
        <w:t xml:space="preserve">, </w:t>
      </w:r>
      <w:r w:rsidRPr="00DA3E15">
        <w:rPr>
          <w:b/>
          <w:bCs/>
          <w:sz w:val="28"/>
          <w:szCs w:val="28"/>
          <w:lang w:val="uk-UA"/>
        </w:rPr>
        <w:t>борошняним</w:t>
      </w:r>
      <w:r>
        <w:rPr>
          <w:b/>
          <w:bCs/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1E24DB">
        <w:rPr>
          <w:b/>
          <w:sz w:val="28"/>
          <w:szCs w:val="28"/>
          <w:lang w:val="uk-UA"/>
        </w:rPr>
        <w:t>кліщами</w:t>
      </w:r>
      <w:r w:rsidRPr="001E24D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0140C9">
        <w:rPr>
          <w:b/>
          <w:bCs/>
          <w:sz w:val="28"/>
          <w:szCs w:val="28"/>
          <w:lang w:val="uk-UA"/>
        </w:rPr>
        <w:t>зерновою міллю</w:t>
      </w:r>
      <w:r w:rsidRPr="001E24DB">
        <w:rPr>
          <w:sz w:val="28"/>
          <w:szCs w:val="28"/>
          <w:lang w:val="uk-UA"/>
        </w:rPr>
        <w:t xml:space="preserve"> у чисельності </w:t>
      </w:r>
      <w:r>
        <w:rPr>
          <w:sz w:val="28"/>
          <w:szCs w:val="28"/>
          <w:lang w:val="uk-UA"/>
        </w:rPr>
        <w:t xml:space="preserve">             </w:t>
      </w:r>
      <w:r w:rsidRPr="001E24D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-9</w:t>
      </w:r>
      <w:r w:rsidRPr="001E24DB">
        <w:rPr>
          <w:sz w:val="28"/>
          <w:szCs w:val="28"/>
          <w:lang w:val="uk-UA"/>
        </w:rPr>
        <w:t xml:space="preserve"> </w:t>
      </w:r>
      <w:proofErr w:type="spellStart"/>
      <w:r w:rsidRPr="001E24DB">
        <w:rPr>
          <w:sz w:val="28"/>
          <w:szCs w:val="28"/>
          <w:lang w:val="uk-UA"/>
        </w:rPr>
        <w:t>екз</w:t>
      </w:r>
      <w:proofErr w:type="spellEnd"/>
      <w:r w:rsidRPr="001E24DB">
        <w:rPr>
          <w:sz w:val="28"/>
          <w:szCs w:val="28"/>
          <w:lang w:val="uk-UA"/>
        </w:rPr>
        <w:t>. на 1 кг зерна</w:t>
      </w:r>
      <w:r>
        <w:rPr>
          <w:sz w:val="28"/>
          <w:szCs w:val="28"/>
          <w:lang w:val="uk-UA"/>
        </w:rPr>
        <w:t>.</w:t>
      </w:r>
      <w:r w:rsidRPr="001E24DB">
        <w:rPr>
          <w:sz w:val="28"/>
          <w:szCs w:val="28"/>
          <w:lang w:val="uk-UA"/>
        </w:rPr>
        <w:t xml:space="preserve"> </w:t>
      </w:r>
      <w:r w:rsidRPr="00401DB6">
        <w:rPr>
          <w:sz w:val="28"/>
          <w:szCs w:val="28"/>
        </w:rPr>
        <w:t xml:space="preserve">Тому, контроль за станом </w:t>
      </w:r>
      <w:proofErr w:type="spellStart"/>
      <w:r w:rsidRPr="00401DB6">
        <w:rPr>
          <w:sz w:val="28"/>
          <w:szCs w:val="28"/>
        </w:rPr>
        <w:t>збереження</w:t>
      </w:r>
      <w:proofErr w:type="spellEnd"/>
      <w:r w:rsidRPr="00401DB6">
        <w:rPr>
          <w:sz w:val="28"/>
          <w:szCs w:val="28"/>
        </w:rPr>
        <w:t xml:space="preserve"> зерна </w:t>
      </w:r>
      <w:proofErr w:type="spellStart"/>
      <w:r w:rsidRPr="00401DB6">
        <w:rPr>
          <w:sz w:val="28"/>
          <w:szCs w:val="28"/>
        </w:rPr>
        <w:t>слід</w:t>
      </w:r>
      <w:proofErr w:type="spellEnd"/>
      <w:r w:rsidRPr="00401DB6">
        <w:rPr>
          <w:sz w:val="28"/>
          <w:szCs w:val="28"/>
        </w:rPr>
        <w:t xml:space="preserve"> </w:t>
      </w:r>
      <w:proofErr w:type="spellStart"/>
      <w:r w:rsidRPr="00401DB6">
        <w:rPr>
          <w:sz w:val="28"/>
          <w:szCs w:val="28"/>
        </w:rPr>
        <w:t>проводити</w:t>
      </w:r>
      <w:proofErr w:type="spellEnd"/>
      <w:r w:rsidRPr="00401DB6">
        <w:rPr>
          <w:sz w:val="28"/>
          <w:szCs w:val="28"/>
        </w:rPr>
        <w:t xml:space="preserve"> </w:t>
      </w:r>
      <w:proofErr w:type="spellStart"/>
      <w:r w:rsidRPr="00401DB6">
        <w:rPr>
          <w:sz w:val="28"/>
          <w:szCs w:val="28"/>
        </w:rPr>
        <w:t>постійно</w:t>
      </w:r>
      <w:proofErr w:type="spellEnd"/>
      <w:r w:rsidRPr="00401DB6">
        <w:rPr>
          <w:sz w:val="28"/>
          <w:szCs w:val="28"/>
        </w:rPr>
        <w:t xml:space="preserve"> і, в </w:t>
      </w:r>
      <w:proofErr w:type="spellStart"/>
      <w:r w:rsidRPr="00401DB6">
        <w:rPr>
          <w:sz w:val="28"/>
          <w:szCs w:val="28"/>
        </w:rPr>
        <w:t>разі</w:t>
      </w:r>
      <w:proofErr w:type="spellEnd"/>
      <w:r w:rsidRPr="00401DB6">
        <w:rPr>
          <w:sz w:val="28"/>
          <w:szCs w:val="28"/>
        </w:rPr>
        <w:t xml:space="preserve"> </w:t>
      </w:r>
      <w:proofErr w:type="spellStart"/>
      <w:r w:rsidRPr="00401DB6">
        <w:rPr>
          <w:sz w:val="28"/>
          <w:szCs w:val="28"/>
        </w:rPr>
        <w:t>виявлення</w:t>
      </w:r>
      <w:proofErr w:type="spellEnd"/>
      <w:r w:rsidRPr="00401DB6">
        <w:rPr>
          <w:sz w:val="28"/>
          <w:szCs w:val="28"/>
        </w:rPr>
        <w:t xml:space="preserve"> </w:t>
      </w:r>
      <w:proofErr w:type="spellStart"/>
      <w:r w:rsidRPr="00401DB6">
        <w:rPr>
          <w:sz w:val="28"/>
          <w:szCs w:val="28"/>
        </w:rPr>
        <w:t>комірних</w:t>
      </w:r>
      <w:proofErr w:type="spellEnd"/>
      <w:r w:rsidRPr="00401DB6">
        <w:rPr>
          <w:sz w:val="28"/>
          <w:szCs w:val="28"/>
        </w:rPr>
        <w:t xml:space="preserve"> </w:t>
      </w:r>
      <w:proofErr w:type="spellStart"/>
      <w:r w:rsidRPr="00401DB6">
        <w:rPr>
          <w:sz w:val="28"/>
          <w:szCs w:val="28"/>
        </w:rPr>
        <w:t>шкідників</w:t>
      </w:r>
      <w:proofErr w:type="spellEnd"/>
      <w:r w:rsidRPr="00401DB6">
        <w:rPr>
          <w:sz w:val="28"/>
          <w:szCs w:val="28"/>
        </w:rPr>
        <w:t xml:space="preserve">, </w:t>
      </w:r>
      <w:proofErr w:type="spellStart"/>
      <w:r w:rsidRPr="00401DB6">
        <w:rPr>
          <w:sz w:val="28"/>
          <w:szCs w:val="28"/>
        </w:rPr>
        <w:t>приступити</w:t>
      </w:r>
      <w:proofErr w:type="spellEnd"/>
      <w:r w:rsidRPr="00401DB6">
        <w:rPr>
          <w:sz w:val="28"/>
          <w:szCs w:val="28"/>
        </w:rPr>
        <w:t xml:space="preserve"> до </w:t>
      </w:r>
      <w:proofErr w:type="spellStart"/>
      <w:r w:rsidRPr="00401DB6">
        <w:rPr>
          <w:sz w:val="28"/>
          <w:szCs w:val="28"/>
        </w:rPr>
        <w:t>знезараження</w:t>
      </w:r>
      <w:proofErr w:type="spellEnd"/>
      <w:r w:rsidRPr="00401DB6">
        <w:rPr>
          <w:sz w:val="28"/>
          <w:szCs w:val="28"/>
        </w:rPr>
        <w:t xml:space="preserve"> </w:t>
      </w:r>
      <w:proofErr w:type="spellStart"/>
      <w:r w:rsidRPr="00401DB6">
        <w:rPr>
          <w:sz w:val="28"/>
          <w:szCs w:val="28"/>
        </w:rPr>
        <w:t>збіжжя</w:t>
      </w:r>
      <w:proofErr w:type="spellEnd"/>
      <w:r w:rsidRPr="00401DB6">
        <w:rPr>
          <w:sz w:val="28"/>
          <w:szCs w:val="28"/>
        </w:rPr>
        <w:t xml:space="preserve"> через </w:t>
      </w:r>
      <w:proofErr w:type="spellStart"/>
      <w:r w:rsidRPr="00401DB6">
        <w:rPr>
          <w:sz w:val="28"/>
          <w:szCs w:val="28"/>
        </w:rPr>
        <w:t>фумігацію</w:t>
      </w:r>
      <w:proofErr w:type="spellEnd"/>
      <w:r w:rsidRPr="00401DB6">
        <w:rPr>
          <w:sz w:val="28"/>
          <w:szCs w:val="28"/>
        </w:rPr>
        <w:t xml:space="preserve"> </w:t>
      </w:r>
      <w:proofErr w:type="spellStart"/>
      <w:r w:rsidRPr="00401DB6">
        <w:rPr>
          <w:sz w:val="28"/>
          <w:szCs w:val="28"/>
        </w:rPr>
        <w:t>дозволеними</w:t>
      </w:r>
      <w:proofErr w:type="spellEnd"/>
      <w:r w:rsidRPr="00401DB6">
        <w:rPr>
          <w:sz w:val="28"/>
          <w:szCs w:val="28"/>
        </w:rPr>
        <w:t xml:space="preserve"> препаратами.</w:t>
      </w:r>
    </w:p>
    <w:p w14:paraId="73A37CA4" w14:textId="0F895387" w:rsidR="00401DB6" w:rsidRDefault="0006212B" w:rsidP="00401DB6">
      <w:pPr>
        <w:ind w:right="-6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проведеної </w:t>
      </w:r>
      <w:proofErr w:type="spellStart"/>
      <w:r>
        <w:rPr>
          <w:sz w:val="28"/>
          <w:szCs w:val="28"/>
          <w:lang w:val="uk-UA"/>
        </w:rPr>
        <w:t>фітоексперти</w:t>
      </w:r>
      <w:proofErr w:type="spellEnd"/>
      <w:r>
        <w:rPr>
          <w:sz w:val="28"/>
          <w:szCs w:val="28"/>
          <w:lang w:val="uk-UA"/>
        </w:rPr>
        <w:t xml:space="preserve"> н</w:t>
      </w:r>
      <w:r w:rsidR="005A275E" w:rsidRPr="001E24DB">
        <w:rPr>
          <w:sz w:val="28"/>
          <w:szCs w:val="28"/>
          <w:lang w:val="uk-UA"/>
        </w:rPr>
        <w:t xml:space="preserve">асіння </w:t>
      </w:r>
      <w:r w:rsidR="006A25F7" w:rsidRPr="006A25F7">
        <w:rPr>
          <w:b/>
          <w:bCs/>
          <w:i/>
          <w:iCs/>
          <w:sz w:val="28"/>
          <w:szCs w:val="28"/>
          <w:lang w:val="uk-UA"/>
        </w:rPr>
        <w:t>пшениці</w:t>
      </w:r>
      <w:r w:rsidR="006A25F7">
        <w:rPr>
          <w:sz w:val="28"/>
          <w:szCs w:val="28"/>
          <w:lang w:val="uk-UA"/>
        </w:rPr>
        <w:t xml:space="preserve">, </w:t>
      </w:r>
      <w:r w:rsidR="006A25F7" w:rsidRPr="006A25F7">
        <w:rPr>
          <w:b/>
          <w:bCs/>
          <w:i/>
          <w:iCs/>
          <w:sz w:val="28"/>
          <w:szCs w:val="28"/>
          <w:lang w:val="uk-UA"/>
        </w:rPr>
        <w:t>ячменю</w:t>
      </w:r>
      <w:r w:rsidR="006A25F7">
        <w:rPr>
          <w:sz w:val="28"/>
          <w:szCs w:val="28"/>
          <w:lang w:val="uk-UA"/>
        </w:rPr>
        <w:t xml:space="preserve">, </w:t>
      </w:r>
      <w:r w:rsidR="006A25F7" w:rsidRPr="006A25F7">
        <w:rPr>
          <w:b/>
          <w:bCs/>
          <w:i/>
          <w:iCs/>
          <w:sz w:val="28"/>
          <w:szCs w:val="28"/>
          <w:lang w:val="uk-UA"/>
        </w:rPr>
        <w:t>вівса</w:t>
      </w:r>
      <w:r w:rsidR="006A25F7">
        <w:rPr>
          <w:sz w:val="28"/>
          <w:szCs w:val="28"/>
          <w:lang w:val="uk-UA"/>
        </w:rPr>
        <w:t xml:space="preserve">, </w:t>
      </w:r>
      <w:r w:rsidR="006A25F7" w:rsidRPr="006A25F7">
        <w:rPr>
          <w:b/>
          <w:bCs/>
          <w:i/>
          <w:iCs/>
          <w:sz w:val="28"/>
          <w:szCs w:val="28"/>
          <w:lang w:val="uk-UA"/>
        </w:rPr>
        <w:t>гороху</w:t>
      </w:r>
      <w:r w:rsidR="006A25F7">
        <w:rPr>
          <w:sz w:val="28"/>
          <w:szCs w:val="28"/>
          <w:lang w:val="uk-UA"/>
        </w:rPr>
        <w:t xml:space="preserve">, </w:t>
      </w:r>
      <w:r w:rsidR="006A25F7" w:rsidRPr="006A25F7">
        <w:rPr>
          <w:b/>
          <w:bCs/>
          <w:i/>
          <w:iCs/>
          <w:sz w:val="28"/>
          <w:szCs w:val="28"/>
          <w:lang w:val="uk-UA"/>
        </w:rPr>
        <w:t>сої</w:t>
      </w:r>
      <w:r w:rsidR="006A25F7">
        <w:rPr>
          <w:sz w:val="28"/>
          <w:szCs w:val="28"/>
          <w:lang w:val="uk-UA"/>
        </w:rPr>
        <w:t xml:space="preserve">, </w:t>
      </w:r>
      <w:r w:rsidR="006A25F7" w:rsidRPr="006A25F7">
        <w:rPr>
          <w:b/>
          <w:bCs/>
          <w:i/>
          <w:iCs/>
          <w:sz w:val="28"/>
          <w:szCs w:val="28"/>
          <w:lang w:val="uk-UA"/>
        </w:rPr>
        <w:t>гречки</w:t>
      </w:r>
      <w:r w:rsidR="006A25F7">
        <w:rPr>
          <w:sz w:val="28"/>
          <w:szCs w:val="28"/>
          <w:lang w:val="uk-UA"/>
        </w:rPr>
        <w:t xml:space="preserve">, </w:t>
      </w:r>
      <w:r w:rsidR="005A275E" w:rsidRPr="001E24DB">
        <w:rPr>
          <w:b/>
          <w:i/>
          <w:sz w:val="28"/>
          <w:szCs w:val="28"/>
          <w:lang w:val="uk-UA"/>
        </w:rPr>
        <w:t>кукурудзи</w:t>
      </w:r>
      <w:r w:rsidR="005A275E" w:rsidRPr="001E24DB">
        <w:rPr>
          <w:spacing w:val="-6"/>
          <w:kern w:val="24"/>
          <w:sz w:val="28"/>
          <w:szCs w:val="28"/>
          <w:lang w:val="uk-UA"/>
        </w:rPr>
        <w:t xml:space="preserve"> </w:t>
      </w:r>
      <w:r w:rsidR="002E5E4D">
        <w:rPr>
          <w:spacing w:val="-6"/>
          <w:kern w:val="24"/>
          <w:sz w:val="28"/>
          <w:szCs w:val="28"/>
          <w:lang w:val="uk-UA"/>
        </w:rPr>
        <w:t xml:space="preserve">з відібраних партій </w:t>
      </w:r>
      <w:r>
        <w:rPr>
          <w:spacing w:val="-6"/>
          <w:kern w:val="24"/>
          <w:sz w:val="28"/>
          <w:szCs w:val="28"/>
          <w:lang w:val="uk-UA"/>
        </w:rPr>
        <w:t>встановлено інфекційний запас</w:t>
      </w:r>
      <w:r w:rsidR="005A275E" w:rsidRPr="001E24DB">
        <w:rPr>
          <w:sz w:val="28"/>
          <w:szCs w:val="28"/>
          <w:lang w:val="uk-UA"/>
        </w:rPr>
        <w:t xml:space="preserve"> </w:t>
      </w:r>
      <w:r w:rsidR="00DA3E15" w:rsidRPr="006A25F7">
        <w:rPr>
          <w:b/>
          <w:bCs/>
          <w:sz w:val="28"/>
          <w:szCs w:val="28"/>
          <w:lang w:val="uk-UA"/>
        </w:rPr>
        <w:t>фузаріоз</w:t>
      </w:r>
      <w:r>
        <w:rPr>
          <w:b/>
          <w:bCs/>
          <w:sz w:val="28"/>
          <w:szCs w:val="28"/>
          <w:lang w:val="uk-UA"/>
        </w:rPr>
        <w:t>у</w:t>
      </w:r>
      <w:r w:rsidR="00DA3E15">
        <w:rPr>
          <w:sz w:val="28"/>
          <w:szCs w:val="28"/>
          <w:lang w:val="uk-UA"/>
        </w:rPr>
        <w:t xml:space="preserve">, </w:t>
      </w:r>
      <w:r w:rsidR="00DA3E15" w:rsidRPr="006A25F7">
        <w:rPr>
          <w:b/>
          <w:bCs/>
          <w:sz w:val="28"/>
          <w:szCs w:val="28"/>
          <w:lang w:val="uk-UA"/>
        </w:rPr>
        <w:t>бактеріоз</w:t>
      </w:r>
      <w:r>
        <w:rPr>
          <w:b/>
          <w:bCs/>
          <w:sz w:val="28"/>
          <w:szCs w:val="28"/>
          <w:lang w:val="uk-UA"/>
        </w:rPr>
        <w:t>у</w:t>
      </w:r>
      <w:r w:rsidR="00DA3E15">
        <w:rPr>
          <w:sz w:val="28"/>
          <w:szCs w:val="28"/>
          <w:lang w:val="uk-UA"/>
        </w:rPr>
        <w:t xml:space="preserve">, </w:t>
      </w:r>
      <w:proofErr w:type="spellStart"/>
      <w:r w:rsidR="00DA3E15" w:rsidRPr="006A25F7">
        <w:rPr>
          <w:b/>
          <w:bCs/>
          <w:sz w:val="28"/>
          <w:szCs w:val="28"/>
          <w:lang w:val="uk-UA"/>
        </w:rPr>
        <w:t>гельмінтоспоріоз</w:t>
      </w:r>
      <w:r>
        <w:rPr>
          <w:b/>
          <w:bCs/>
          <w:sz w:val="28"/>
          <w:szCs w:val="28"/>
          <w:lang w:val="uk-UA"/>
        </w:rPr>
        <w:t>у</w:t>
      </w:r>
      <w:proofErr w:type="spellEnd"/>
      <w:r w:rsidR="006A25F7">
        <w:rPr>
          <w:sz w:val="28"/>
          <w:szCs w:val="28"/>
          <w:lang w:val="uk-UA"/>
        </w:rPr>
        <w:t xml:space="preserve">, </w:t>
      </w:r>
      <w:proofErr w:type="spellStart"/>
      <w:r w:rsidR="006A25F7" w:rsidRPr="006A25F7">
        <w:rPr>
          <w:b/>
          <w:bCs/>
          <w:sz w:val="28"/>
          <w:szCs w:val="28"/>
          <w:lang w:val="uk-UA"/>
        </w:rPr>
        <w:t>ринхоспоріоз</w:t>
      </w:r>
      <w:r>
        <w:rPr>
          <w:b/>
          <w:bCs/>
          <w:sz w:val="28"/>
          <w:szCs w:val="28"/>
          <w:lang w:val="uk-UA"/>
        </w:rPr>
        <w:t>у</w:t>
      </w:r>
      <w:proofErr w:type="spellEnd"/>
      <w:r w:rsidR="006A25F7">
        <w:rPr>
          <w:sz w:val="28"/>
          <w:szCs w:val="28"/>
          <w:lang w:val="uk-UA"/>
        </w:rPr>
        <w:t xml:space="preserve">, </w:t>
      </w:r>
      <w:r w:rsidR="006A25F7" w:rsidRPr="006A25F7">
        <w:rPr>
          <w:b/>
          <w:bCs/>
          <w:sz w:val="28"/>
          <w:szCs w:val="28"/>
          <w:lang w:val="uk-UA"/>
        </w:rPr>
        <w:t>аскохітоз</w:t>
      </w:r>
      <w:r>
        <w:rPr>
          <w:b/>
          <w:bCs/>
          <w:sz w:val="28"/>
          <w:szCs w:val="28"/>
          <w:lang w:val="uk-UA"/>
        </w:rPr>
        <w:t>у</w:t>
      </w:r>
      <w:r w:rsidR="006A25F7">
        <w:rPr>
          <w:sz w:val="28"/>
          <w:szCs w:val="28"/>
          <w:lang w:val="uk-UA"/>
        </w:rPr>
        <w:t xml:space="preserve">, </w:t>
      </w:r>
      <w:r w:rsidR="005A275E" w:rsidRPr="006A25F7">
        <w:rPr>
          <w:b/>
          <w:bCs/>
          <w:sz w:val="28"/>
          <w:szCs w:val="28"/>
          <w:lang w:val="uk-UA"/>
        </w:rPr>
        <w:t>плісняв</w:t>
      </w:r>
      <w:r w:rsidR="002E5E4D">
        <w:rPr>
          <w:b/>
          <w:bCs/>
          <w:sz w:val="28"/>
          <w:szCs w:val="28"/>
          <w:lang w:val="uk-UA"/>
        </w:rPr>
        <w:t>іння</w:t>
      </w:r>
      <w:r w:rsidR="002E5E4D" w:rsidRPr="00A06EBE">
        <w:rPr>
          <w:sz w:val="28"/>
          <w:szCs w:val="28"/>
          <w:lang w:val="uk-UA"/>
        </w:rPr>
        <w:t xml:space="preserve"> </w:t>
      </w:r>
      <w:r w:rsidR="00A06EBE" w:rsidRPr="00A06EBE">
        <w:rPr>
          <w:sz w:val="28"/>
          <w:szCs w:val="28"/>
          <w:lang w:val="uk-UA"/>
        </w:rPr>
        <w:t xml:space="preserve">в межах </w:t>
      </w:r>
      <w:r w:rsidR="002E5E4D" w:rsidRPr="002E5E4D">
        <w:rPr>
          <w:sz w:val="28"/>
          <w:szCs w:val="28"/>
          <w:lang w:val="uk-UA"/>
        </w:rPr>
        <w:t>0,4-3%</w:t>
      </w:r>
      <w:r w:rsidR="004870DC">
        <w:rPr>
          <w:b/>
          <w:bCs/>
          <w:sz w:val="28"/>
          <w:szCs w:val="28"/>
          <w:lang w:val="uk-UA"/>
        </w:rPr>
        <w:t xml:space="preserve"> </w:t>
      </w:r>
      <w:r w:rsidR="004870DC" w:rsidRPr="002E5E4D">
        <w:rPr>
          <w:sz w:val="28"/>
          <w:szCs w:val="28"/>
          <w:lang w:val="uk-UA"/>
        </w:rPr>
        <w:t>(</w:t>
      </w:r>
      <w:r w:rsidR="00C7402F">
        <w:rPr>
          <w:spacing w:val="-6"/>
          <w:kern w:val="24"/>
          <w:sz w:val="28"/>
          <w:szCs w:val="28"/>
          <w:lang w:val="uk-UA"/>
        </w:rPr>
        <w:t>Тернопільськ</w:t>
      </w:r>
      <w:r w:rsidR="004870DC">
        <w:rPr>
          <w:spacing w:val="-6"/>
          <w:kern w:val="24"/>
          <w:sz w:val="28"/>
          <w:szCs w:val="28"/>
          <w:lang w:val="uk-UA"/>
        </w:rPr>
        <w:t>а</w:t>
      </w:r>
      <w:r w:rsidR="00C7402F">
        <w:rPr>
          <w:spacing w:val="-6"/>
          <w:kern w:val="24"/>
          <w:sz w:val="28"/>
          <w:szCs w:val="28"/>
          <w:lang w:val="uk-UA"/>
        </w:rPr>
        <w:t xml:space="preserve">, </w:t>
      </w:r>
      <w:r w:rsidR="00C7402F" w:rsidRPr="001E24DB">
        <w:rPr>
          <w:spacing w:val="-6"/>
          <w:kern w:val="24"/>
          <w:sz w:val="28"/>
          <w:szCs w:val="28"/>
          <w:lang w:val="uk-UA"/>
        </w:rPr>
        <w:t>Черкаськ</w:t>
      </w:r>
      <w:r w:rsidR="004870DC">
        <w:rPr>
          <w:spacing w:val="-6"/>
          <w:kern w:val="24"/>
          <w:sz w:val="28"/>
          <w:szCs w:val="28"/>
          <w:lang w:val="uk-UA"/>
        </w:rPr>
        <w:t>а</w:t>
      </w:r>
      <w:r w:rsidR="00C7402F" w:rsidRPr="001E24DB">
        <w:rPr>
          <w:spacing w:val="-6"/>
          <w:kern w:val="24"/>
          <w:sz w:val="28"/>
          <w:szCs w:val="28"/>
          <w:lang w:val="uk-UA"/>
        </w:rPr>
        <w:t xml:space="preserve"> обл</w:t>
      </w:r>
      <w:r w:rsidR="004870DC">
        <w:rPr>
          <w:spacing w:val="-6"/>
          <w:kern w:val="24"/>
          <w:sz w:val="28"/>
          <w:szCs w:val="28"/>
          <w:lang w:val="uk-UA"/>
        </w:rPr>
        <w:t>.)</w:t>
      </w:r>
      <w:r w:rsidR="005A275E" w:rsidRPr="001E24DB">
        <w:rPr>
          <w:sz w:val="28"/>
          <w:szCs w:val="28"/>
          <w:lang w:val="uk-UA"/>
        </w:rPr>
        <w:t xml:space="preserve">. </w:t>
      </w:r>
      <w:r w:rsidR="002E5E4D" w:rsidRPr="002B367E">
        <w:rPr>
          <w:sz w:val="28"/>
          <w:szCs w:val="28"/>
          <w:lang w:val="uk-UA" w:eastAsia="ar-SA"/>
        </w:rPr>
        <w:t xml:space="preserve">Зараженість насіння збудниками </w:t>
      </w:r>
      <w:proofErr w:type="spellStart"/>
      <w:r w:rsidR="002E5E4D" w:rsidRPr="002B367E">
        <w:rPr>
          <w:sz w:val="28"/>
          <w:szCs w:val="28"/>
          <w:lang w:val="uk-UA" w:eastAsia="ar-SA"/>
        </w:rPr>
        <w:t>хвороб</w:t>
      </w:r>
      <w:proofErr w:type="spellEnd"/>
      <w:r w:rsidR="002E5E4D" w:rsidRPr="002B367E">
        <w:rPr>
          <w:sz w:val="28"/>
          <w:szCs w:val="28"/>
          <w:lang w:val="uk-UA" w:eastAsia="ar-SA"/>
        </w:rPr>
        <w:t xml:space="preserve"> потребує правильного вибору та забезпечення якісної обробки протруйниками з врахуванням спектру їх дії.</w:t>
      </w:r>
    </w:p>
    <w:p w14:paraId="136BF745" w14:textId="7B77BFEF" w:rsidR="00541CBE" w:rsidRDefault="00375B83" w:rsidP="00CE1E5D">
      <w:pPr>
        <w:ind w:right="-6" w:firstLine="720"/>
        <w:jc w:val="both"/>
        <w:rPr>
          <w:sz w:val="28"/>
          <w:szCs w:val="28"/>
          <w:lang w:val="uk-UA"/>
        </w:rPr>
      </w:pPr>
      <w:r w:rsidRPr="001E24DB">
        <w:rPr>
          <w:sz w:val="28"/>
          <w:szCs w:val="28"/>
          <w:lang w:val="uk-UA"/>
        </w:rPr>
        <w:t xml:space="preserve">У господарствах здійснюється фітосанітарний нагляд за посівами зимуючих культур. </w:t>
      </w:r>
    </w:p>
    <w:p w14:paraId="00029ED9" w14:textId="77777777" w:rsidR="00CE1E5D" w:rsidRDefault="00541CBE" w:rsidP="00CE1E5D">
      <w:pPr>
        <w:ind w:right="-5" w:firstLine="720"/>
        <w:jc w:val="both"/>
        <w:rPr>
          <w:sz w:val="28"/>
          <w:szCs w:val="28"/>
          <w:lang w:val="uk-UA"/>
        </w:rPr>
      </w:pPr>
      <w:r w:rsidRPr="00B73E04">
        <w:rPr>
          <w:spacing w:val="-6"/>
          <w:sz w:val="28"/>
          <w:szCs w:val="28"/>
        </w:rPr>
        <w:t xml:space="preserve">За оперативною </w:t>
      </w:r>
      <w:proofErr w:type="spellStart"/>
      <w:r w:rsidRPr="00B73E04">
        <w:rPr>
          <w:spacing w:val="-6"/>
          <w:sz w:val="28"/>
          <w:szCs w:val="28"/>
        </w:rPr>
        <w:t>інформацією</w:t>
      </w:r>
      <w:proofErr w:type="spellEnd"/>
      <w:r w:rsidRPr="00B73E04">
        <w:rPr>
          <w:spacing w:val="-6"/>
          <w:sz w:val="28"/>
          <w:szCs w:val="28"/>
        </w:rPr>
        <w:t xml:space="preserve"> про </w:t>
      </w:r>
      <w:proofErr w:type="spellStart"/>
      <w:r w:rsidRPr="00B73E04">
        <w:rPr>
          <w:spacing w:val="-6"/>
          <w:sz w:val="28"/>
          <w:szCs w:val="28"/>
        </w:rPr>
        <w:t>хід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робіт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із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захисту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рослин</w:t>
      </w:r>
      <w:proofErr w:type="spellEnd"/>
      <w:r w:rsidRPr="00B73E04">
        <w:rPr>
          <w:spacing w:val="-6"/>
          <w:sz w:val="28"/>
          <w:szCs w:val="28"/>
        </w:rPr>
        <w:t xml:space="preserve">, </w:t>
      </w:r>
      <w:proofErr w:type="spellStart"/>
      <w:r w:rsidRPr="00B73E04">
        <w:rPr>
          <w:spacing w:val="-6"/>
          <w:sz w:val="28"/>
          <w:szCs w:val="28"/>
        </w:rPr>
        <w:t>наданою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Головними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управліннями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Держпродспоживслужби</w:t>
      </w:r>
      <w:proofErr w:type="spellEnd"/>
      <w:r w:rsidRPr="00B73E04">
        <w:rPr>
          <w:spacing w:val="-6"/>
          <w:sz w:val="28"/>
          <w:szCs w:val="28"/>
        </w:rPr>
        <w:t xml:space="preserve"> в областях</w:t>
      </w:r>
      <w:r w:rsidRPr="00B73E04">
        <w:rPr>
          <w:spacing w:val="-6"/>
          <w:sz w:val="28"/>
          <w:szCs w:val="28"/>
          <w:lang w:val="uk-UA"/>
        </w:rPr>
        <w:t xml:space="preserve"> станом                                       на </w:t>
      </w:r>
      <w:r w:rsidRPr="00F65EC5">
        <w:rPr>
          <w:b/>
          <w:bCs/>
          <w:spacing w:val="-6"/>
          <w:sz w:val="28"/>
          <w:szCs w:val="28"/>
          <w:lang w:val="uk-UA"/>
        </w:rPr>
        <w:t>15.01.2026</w:t>
      </w:r>
      <w:r>
        <w:rPr>
          <w:spacing w:val="-6"/>
          <w:sz w:val="28"/>
          <w:szCs w:val="28"/>
          <w:lang w:val="uk-UA"/>
        </w:rPr>
        <w:t xml:space="preserve"> </w:t>
      </w:r>
      <w:r w:rsidRPr="00B73E04">
        <w:rPr>
          <w:spacing w:val="-6"/>
          <w:sz w:val="28"/>
          <w:szCs w:val="28"/>
          <w:lang w:val="uk-UA"/>
        </w:rPr>
        <w:t xml:space="preserve">року захист сільськогосподарських культур </w:t>
      </w:r>
      <w:r>
        <w:rPr>
          <w:spacing w:val="-6"/>
          <w:sz w:val="28"/>
          <w:szCs w:val="28"/>
          <w:lang w:val="uk-UA"/>
        </w:rPr>
        <w:t xml:space="preserve">проти мишоподібних гризунів, наразі становить </w:t>
      </w:r>
      <w:r w:rsidRPr="00B73E04">
        <w:rPr>
          <w:sz w:val="28"/>
          <w:szCs w:val="28"/>
          <w:lang w:val="uk-UA"/>
        </w:rPr>
        <w:t xml:space="preserve">– </w:t>
      </w:r>
      <w:r>
        <w:rPr>
          <w:spacing w:val="-6"/>
          <w:sz w:val="28"/>
          <w:szCs w:val="28"/>
          <w:lang w:val="uk-UA"/>
        </w:rPr>
        <w:t>228,9 тис.</w:t>
      </w:r>
      <w:r w:rsidR="00CE1E5D">
        <w:rPr>
          <w:spacing w:val="-6"/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/>
        </w:rPr>
        <w:t>га з них:</w:t>
      </w:r>
    </w:p>
    <w:p w14:paraId="69070386" w14:textId="397CB398" w:rsidR="00541CBE" w:rsidRPr="00CE1E5D" w:rsidRDefault="00541CBE" w:rsidP="00CE1E5D">
      <w:pPr>
        <w:ind w:right="-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озимі зернові культури</w:t>
      </w:r>
      <w:bookmarkStart w:id="0" w:name="_Hlk218767395"/>
      <w:r w:rsidRPr="00B73E04">
        <w:rPr>
          <w:sz w:val="28"/>
          <w:szCs w:val="28"/>
          <w:lang w:val="uk-UA"/>
        </w:rPr>
        <w:t xml:space="preserve"> – </w:t>
      </w:r>
      <w:bookmarkEnd w:id="0"/>
      <w:r>
        <w:rPr>
          <w:sz w:val="28"/>
          <w:szCs w:val="28"/>
          <w:lang w:val="uk-UA"/>
        </w:rPr>
        <w:t xml:space="preserve">121,9 </w:t>
      </w:r>
      <w:r w:rsidRPr="00B73E04">
        <w:rPr>
          <w:sz w:val="28"/>
          <w:szCs w:val="28"/>
          <w:lang w:val="uk-UA"/>
        </w:rPr>
        <w:t>тис. га;</w:t>
      </w:r>
    </w:p>
    <w:p w14:paraId="4D1F213E" w14:textId="53B5B876" w:rsidR="00541CBE" w:rsidRDefault="00541CBE" w:rsidP="00CE1E5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z w:val="28"/>
          <w:szCs w:val="28"/>
          <w:lang w:val="uk-UA"/>
        </w:rPr>
      </w:pPr>
      <w:bookmarkStart w:id="1" w:name="_Hlk141958779"/>
      <w:r>
        <w:rPr>
          <w:sz w:val="28"/>
          <w:szCs w:val="28"/>
          <w:lang w:val="uk-UA"/>
        </w:rPr>
        <w:t xml:space="preserve">озимий ріпак </w:t>
      </w:r>
      <w:r w:rsidRPr="00B73E04">
        <w:rPr>
          <w:sz w:val="28"/>
          <w:szCs w:val="28"/>
          <w:lang w:val="uk-UA"/>
        </w:rPr>
        <w:t xml:space="preserve">– </w:t>
      </w:r>
      <w:bookmarkEnd w:id="1"/>
      <w:r>
        <w:rPr>
          <w:sz w:val="28"/>
          <w:szCs w:val="28"/>
          <w:lang w:val="uk-UA"/>
        </w:rPr>
        <w:t xml:space="preserve">93,7 </w:t>
      </w:r>
      <w:r w:rsidRPr="00B73E04">
        <w:rPr>
          <w:sz w:val="28"/>
          <w:szCs w:val="28"/>
          <w:lang w:val="uk-UA"/>
        </w:rPr>
        <w:t>тис. га;</w:t>
      </w:r>
    </w:p>
    <w:p w14:paraId="3E4B2123" w14:textId="77777777" w:rsidR="00541CBE" w:rsidRDefault="00541CBE" w:rsidP="00CE1E5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багаторічні трави – 9,2 тис. га;</w:t>
      </w:r>
    </w:p>
    <w:p w14:paraId="0C38C0E5" w14:textId="77777777" w:rsidR="00CE1E5D" w:rsidRDefault="00541CBE" w:rsidP="00CE1E5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– 4,1 тис. гектарів</w:t>
      </w:r>
      <w:r w:rsidR="00CE1E5D">
        <w:rPr>
          <w:sz w:val="28"/>
          <w:szCs w:val="28"/>
          <w:lang w:val="uk-UA"/>
        </w:rPr>
        <w:t>.</w:t>
      </w:r>
    </w:p>
    <w:p w14:paraId="21032A39" w14:textId="0059B31B" w:rsidR="00541CBE" w:rsidRPr="00CE1E5D" w:rsidRDefault="00541CBE" w:rsidP="00CE1E5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Хімічним метод проти мишоподібних гризунів оброблено </w:t>
      </w:r>
      <w:bookmarkStart w:id="2" w:name="_Hlk213323687"/>
      <w:r>
        <w:rPr>
          <w:sz w:val="28"/>
          <w:szCs w:val="28"/>
          <w:lang w:val="uk-UA"/>
        </w:rPr>
        <w:t>–</w:t>
      </w:r>
      <w:bookmarkEnd w:id="2"/>
      <w:r>
        <w:rPr>
          <w:sz w:val="28"/>
          <w:szCs w:val="28"/>
          <w:lang w:val="uk-UA"/>
        </w:rPr>
        <w:t xml:space="preserve"> 174,4 тис. га, біологічним методом – 54,5 тис. га.</w:t>
      </w:r>
    </w:p>
    <w:p w14:paraId="117799D0" w14:textId="77777777" w:rsidR="00541CBE" w:rsidRPr="00B73E04" w:rsidRDefault="00541CBE" w:rsidP="00541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/>
        <w:jc w:val="both"/>
        <w:rPr>
          <w:sz w:val="28"/>
          <w:szCs w:val="28"/>
          <w:lang w:val="uk-UA"/>
        </w:rPr>
      </w:pPr>
    </w:p>
    <w:p w14:paraId="34547085" w14:textId="77777777" w:rsidR="00541CBE" w:rsidRPr="00B37839" w:rsidRDefault="00541CBE" w:rsidP="00541CBE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266D5B63" wp14:editId="4C5799DD">
            <wp:extent cx="6210300" cy="5457825"/>
            <wp:effectExtent l="0" t="0" r="0" b="9525"/>
            <wp:docPr id="9492640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FA7139CC-A1EC-A0D2-118D-A2F7CBCCD3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65184FC" w14:textId="627D5AE6" w:rsidR="00541CBE" w:rsidRPr="001E24DB" w:rsidRDefault="00541CBE" w:rsidP="001E24DB">
      <w:pPr>
        <w:ind w:right="-5" w:firstLine="720"/>
        <w:jc w:val="both"/>
        <w:rPr>
          <w:sz w:val="28"/>
          <w:szCs w:val="28"/>
          <w:lang w:val="uk-UA"/>
        </w:rPr>
      </w:pPr>
    </w:p>
    <w:p w14:paraId="27E70C46" w14:textId="77777777" w:rsidR="00375B83" w:rsidRPr="001E24DB" w:rsidRDefault="00375B83" w:rsidP="001E24DB">
      <w:pPr>
        <w:rPr>
          <w:sz w:val="28"/>
          <w:szCs w:val="28"/>
          <w:lang w:val="uk-UA"/>
        </w:rPr>
      </w:pPr>
    </w:p>
    <w:p w14:paraId="11CF3AE8" w14:textId="77777777" w:rsidR="00375B83" w:rsidRPr="001E24DB" w:rsidRDefault="00375B83" w:rsidP="001E24DB">
      <w:pPr>
        <w:rPr>
          <w:sz w:val="28"/>
          <w:szCs w:val="28"/>
          <w:lang w:val="uk-UA"/>
        </w:rPr>
      </w:pPr>
    </w:p>
    <w:sectPr w:rsidR="00375B83" w:rsidRPr="001E24DB" w:rsidSect="00CE1E5D">
      <w:pgSz w:w="11906" w:h="16838"/>
      <w:pgMar w:top="993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83"/>
    <w:rsid w:val="000140C9"/>
    <w:rsid w:val="0006212B"/>
    <w:rsid w:val="000C10BC"/>
    <w:rsid w:val="00133C64"/>
    <w:rsid w:val="001E24DB"/>
    <w:rsid w:val="002259EA"/>
    <w:rsid w:val="002354BD"/>
    <w:rsid w:val="002E5E4D"/>
    <w:rsid w:val="00375B83"/>
    <w:rsid w:val="00390B39"/>
    <w:rsid w:val="003A1C2C"/>
    <w:rsid w:val="00401DB6"/>
    <w:rsid w:val="00423C9D"/>
    <w:rsid w:val="004870DC"/>
    <w:rsid w:val="00541CBE"/>
    <w:rsid w:val="005A275E"/>
    <w:rsid w:val="006A25F7"/>
    <w:rsid w:val="00A06EBE"/>
    <w:rsid w:val="00B02628"/>
    <w:rsid w:val="00C7402F"/>
    <w:rsid w:val="00CE1E5D"/>
    <w:rsid w:val="00DA3E15"/>
    <w:rsid w:val="00DB6C92"/>
    <w:rsid w:val="00E8444C"/>
    <w:rsid w:val="00F6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6CFF"/>
  <w15:chartTrackingRefBased/>
  <w15:docId w15:val="{76A8B223-D4E0-4150-8E80-04132D84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B8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5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B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B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B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B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7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7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75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B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75B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5B83"/>
    <w:rPr>
      <w:b/>
      <w:bCs/>
      <w:smallCaps/>
      <w:color w:val="0F4761" w:themeColor="accent1" w:themeShade="BF"/>
      <w:spacing w:val="5"/>
    </w:rPr>
  </w:style>
  <w:style w:type="paragraph" w:customStyle="1" w:styleId="ae">
    <w:name w:val="Знак Знак Знак Знак"/>
    <w:basedOn w:val="a"/>
    <w:rsid w:val="002259EA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47;&#1047;&#1056;%20&#1075;&#1088;&#1072;&#1092;&#1110;&#1082;&#1080;%20-%20&#1047;&#1072;&#1093;&#1080;&#1089;&#1090;%20&#1074;%202025%20&#1088;&#1086;&#1094;&#111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МИШОПОДІБНИХ ГРИЗУНІВ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15.01.2026 )</a:t>
            </a:r>
          </a:p>
        </c:rich>
      </c:tx>
      <c:layout>
        <c:manualLayout>
          <c:xMode val="edge"/>
          <c:yMode val="edge"/>
          <c:x val="0.21007020594818285"/>
          <c:y val="1.2096393709948566E-3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37F-4FD1-AF85-1B85B7B1A28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37F-4FD1-AF85-1B85B7B1A28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37F-4FD1-AF85-1B85B7B1A28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C37F-4FD1-AF85-1B85B7B1A28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C37F-4FD1-AF85-1B85B7B1A28F}"/>
              </c:ext>
            </c:extLst>
          </c:dPt>
          <c:dLbls>
            <c:dLbl>
              <c:idx val="0"/>
              <c:layout>
                <c:manualLayout>
                  <c:x val="-6.1349693251533744E-3"/>
                  <c:y val="0.2341502338385712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Озимі зернові культури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121,9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C37F-4FD1-AF85-1B85B7B1A28F}"/>
                </c:ext>
              </c:extLst>
            </c:dLbl>
            <c:dLbl>
              <c:idx val="1"/>
              <c:layout>
                <c:manualLayout>
                  <c:x val="2.2324413354903601E-2"/>
                  <c:y val="0.175352635894335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Озимий ріпак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93,7 тис.га  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C37F-4FD1-AF85-1B85B7B1A28F}"/>
                </c:ext>
              </c:extLst>
            </c:dLbl>
            <c:dLbl>
              <c:idx val="2"/>
              <c:layout>
                <c:manualLayout>
                  <c:x val="-0.11463664278403275"/>
                  <c:y val="-6.3274081261169559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Багаторічні трави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9,2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C37F-4FD1-AF85-1B85B7B1A28F}"/>
                </c:ext>
              </c:extLst>
            </c:dLbl>
            <c:dLbl>
              <c:idx val="3"/>
              <c:layout>
                <c:manualLayout>
                  <c:x val="0.14149336482985775"/>
                  <c:y val="-4.302388741691651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- 4,1 тис.га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140073748450158"/>
                      <c:h val="8.190808609656775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C37F-4FD1-AF85-1B85B7B1A28F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C37F-4FD1-AF85-1B85B7B1A28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4"/>
                <c:pt idx="0">
                  <c:v>Озима пшениця</c:v>
                </c:pt>
                <c:pt idx="1">
                  <c:v>Озимий ріпак</c:v>
                </c:pt>
                <c:pt idx="2">
                  <c:v>Багаторічні трави</c:v>
                </c:pt>
                <c:pt idx="3">
                  <c:v>Інші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58.5</c:v>
                </c:pt>
                <c:pt idx="1">
                  <c:v>46.1</c:v>
                </c:pt>
                <c:pt idx="2" formatCode="General">
                  <c:v>6.2</c:v>
                </c:pt>
                <c:pt idx="3" formatCode="General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37F-4FD1-AF85-1B85B7B1A28F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C37F-4FD1-AF85-1B85B7B1A28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C37F-4FD1-AF85-1B85B7B1A28F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C37F-4FD1-AF85-1B85B7B1A28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C37F-4FD1-AF85-1B85B7B1A28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C37F-4FD1-AF85-1B85B7B1A28F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C37F-4FD1-AF85-1B85B7B1A28F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C37F-4FD1-AF85-1B85B7B1A28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C37F-4FD1-AF85-1B85B7B1A28F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C37F-4FD1-AF85-1B85B7B1A28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C37F-4FD1-AF85-1B85B7B1A28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C37F-4FD1-AF85-1B85B7B1A28F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C37F-4FD1-AF85-1B85B7B1A2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346</Words>
  <Characters>2357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Gerasimenko</dc:creator>
  <cp:keywords/>
  <dc:description/>
  <cp:lastModifiedBy>Оlesya Sydorchuk</cp:lastModifiedBy>
  <cp:revision>10</cp:revision>
  <dcterms:created xsi:type="dcterms:W3CDTF">2026-01-15T08:17:00Z</dcterms:created>
  <dcterms:modified xsi:type="dcterms:W3CDTF">2026-01-16T07:53:00Z</dcterms:modified>
</cp:coreProperties>
</file>