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3BCC" w14:textId="77777777" w:rsidR="00C44C32" w:rsidRPr="005E0F50" w:rsidRDefault="00C44C32" w:rsidP="00C44C32">
      <w:pPr>
        <w:ind w:right="-185" w:firstLine="360"/>
        <w:jc w:val="right"/>
        <w:rPr>
          <w:sz w:val="28"/>
          <w:szCs w:val="28"/>
          <w:lang w:val="uk-UA"/>
        </w:rPr>
      </w:pPr>
      <w:r w:rsidRPr="005E0F50">
        <w:rPr>
          <w:sz w:val="28"/>
          <w:szCs w:val="28"/>
          <w:lang w:val="uk-UA"/>
        </w:rPr>
        <w:t>Фітосанітарний стан</w:t>
      </w:r>
    </w:p>
    <w:p w14:paraId="37E4D867" w14:textId="77777777" w:rsidR="00C44C32" w:rsidRPr="005E0F50" w:rsidRDefault="00C44C32" w:rsidP="00C44C32">
      <w:pPr>
        <w:ind w:right="-185" w:firstLine="360"/>
        <w:jc w:val="right"/>
        <w:rPr>
          <w:sz w:val="28"/>
          <w:szCs w:val="28"/>
          <w:lang w:val="uk-UA"/>
        </w:rPr>
      </w:pPr>
      <w:r w:rsidRPr="005E0F50">
        <w:rPr>
          <w:sz w:val="28"/>
          <w:szCs w:val="28"/>
          <w:lang w:val="uk-UA"/>
        </w:rPr>
        <w:t>сільськогосподарських рослин</w:t>
      </w:r>
    </w:p>
    <w:p w14:paraId="614EB258" w14:textId="01D16E4D" w:rsidR="00C44C32" w:rsidRPr="005E0F50" w:rsidRDefault="00C44C32" w:rsidP="00C44C32">
      <w:pPr>
        <w:ind w:right="-185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лютого 2026</w:t>
      </w:r>
      <w:r w:rsidRPr="005E0F50">
        <w:rPr>
          <w:sz w:val="28"/>
          <w:szCs w:val="28"/>
          <w:lang w:val="uk-UA"/>
        </w:rPr>
        <w:t xml:space="preserve"> року</w:t>
      </w:r>
    </w:p>
    <w:p w14:paraId="26287516" w14:textId="77777777" w:rsidR="007A508D" w:rsidRDefault="007A508D" w:rsidP="00C44C32">
      <w:pPr>
        <w:ind w:left="-540" w:right="-185" w:firstLine="720"/>
        <w:jc w:val="both"/>
        <w:rPr>
          <w:spacing w:val="-6"/>
          <w:sz w:val="28"/>
          <w:szCs w:val="28"/>
          <w:lang w:val="uk-UA"/>
        </w:rPr>
      </w:pPr>
    </w:p>
    <w:p w14:paraId="7276C486" w14:textId="75D55AD9" w:rsidR="007A508D" w:rsidRDefault="007A508D" w:rsidP="00922327">
      <w:pPr>
        <w:ind w:right="-185" w:firstLine="851"/>
        <w:jc w:val="both"/>
        <w:rPr>
          <w:spacing w:val="-6"/>
          <w:sz w:val="28"/>
          <w:szCs w:val="28"/>
          <w:lang w:val="uk-UA"/>
        </w:rPr>
      </w:pPr>
      <w:r w:rsidRPr="007A508D">
        <w:rPr>
          <w:spacing w:val="-6"/>
          <w:sz w:val="28"/>
          <w:szCs w:val="28"/>
          <w:lang w:val="uk-UA"/>
        </w:rPr>
        <w:t xml:space="preserve">У південних, східних степових та деяких лісостепових областях через несприятливі для розвитку </w:t>
      </w:r>
      <w:r w:rsidRPr="00922327">
        <w:rPr>
          <w:b/>
          <w:bCs/>
          <w:spacing w:val="-6"/>
          <w:sz w:val="28"/>
          <w:szCs w:val="28"/>
          <w:lang w:val="uk-UA"/>
        </w:rPr>
        <w:t>мишоподібних гризунів</w:t>
      </w:r>
      <w:r w:rsidRPr="007A508D">
        <w:rPr>
          <w:spacing w:val="-6"/>
          <w:sz w:val="28"/>
          <w:szCs w:val="28"/>
          <w:lang w:val="uk-UA"/>
        </w:rPr>
        <w:t xml:space="preserve"> кліматичні умови (коливання температур, </w:t>
      </w:r>
      <w:r w:rsidR="008E1283">
        <w:rPr>
          <w:spacing w:val="-6"/>
          <w:sz w:val="28"/>
          <w:szCs w:val="28"/>
          <w:lang w:val="uk-UA"/>
        </w:rPr>
        <w:t xml:space="preserve">опади у вигляді дощу та снігу, </w:t>
      </w:r>
      <w:r w:rsidRPr="007A508D">
        <w:rPr>
          <w:spacing w:val="-6"/>
          <w:sz w:val="28"/>
          <w:szCs w:val="28"/>
          <w:lang w:val="uk-UA"/>
        </w:rPr>
        <w:t xml:space="preserve">відлиги, танення та ущільнення снігового покриву) </w:t>
      </w:r>
      <w:r>
        <w:rPr>
          <w:spacing w:val="-6"/>
          <w:sz w:val="28"/>
          <w:szCs w:val="28"/>
          <w:lang w:val="uk-UA"/>
        </w:rPr>
        <w:t xml:space="preserve">подекуди </w:t>
      </w:r>
      <w:r w:rsidRPr="007A508D">
        <w:rPr>
          <w:spacing w:val="-6"/>
          <w:sz w:val="28"/>
          <w:szCs w:val="28"/>
          <w:lang w:val="uk-UA"/>
        </w:rPr>
        <w:t xml:space="preserve">відбулось затоплення </w:t>
      </w:r>
      <w:proofErr w:type="spellStart"/>
      <w:r w:rsidRPr="007A508D">
        <w:rPr>
          <w:spacing w:val="-6"/>
          <w:sz w:val="28"/>
          <w:szCs w:val="28"/>
          <w:lang w:val="uk-UA"/>
        </w:rPr>
        <w:t>нір</w:t>
      </w:r>
      <w:proofErr w:type="spellEnd"/>
      <w:r w:rsidRPr="007A508D">
        <w:rPr>
          <w:spacing w:val="-6"/>
          <w:sz w:val="28"/>
          <w:szCs w:val="28"/>
          <w:lang w:val="uk-UA"/>
        </w:rPr>
        <w:t xml:space="preserve"> шкідників талими водами, що призвело до намокання, переохолодження та загибелі</w:t>
      </w:r>
      <w:r w:rsidR="004A3983">
        <w:rPr>
          <w:spacing w:val="-6"/>
          <w:sz w:val="28"/>
          <w:szCs w:val="28"/>
          <w:lang w:val="uk-UA"/>
        </w:rPr>
        <w:t xml:space="preserve"> </w:t>
      </w:r>
      <w:r w:rsidR="008E1283">
        <w:rPr>
          <w:spacing w:val="-6"/>
          <w:sz w:val="28"/>
          <w:szCs w:val="28"/>
          <w:lang w:val="uk-UA"/>
        </w:rPr>
        <w:t xml:space="preserve">їх </w:t>
      </w:r>
      <w:r w:rsidR="00922327">
        <w:rPr>
          <w:spacing w:val="-6"/>
          <w:sz w:val="28"/>
          <w:szCs w:val="28"/>
          <w:lang w:val="uk-UA"/>
        </w:rPr>
        <w:t xml:space="preserve">в межах </w:t>
      </w:r>
      <w:r w:rsidR="004A3983">
        <w:rPr>
          <w:spacing w:val="-6"/>
          <w:sz w:val="28"/>
          <w:szCs w:val="28"/>
          <w:lang w:val="uk-UA"/>
        </w:rPr>
        <w:t>5-7</w:t>
      </w:r>
      <w:r w:rsidR="00463D3E">
        <w:rPr>
          <w:spacing w:val="-6"/>
          <w:sz w:val="28"/>
          <w:szCs w:val="28"/>
          <w:lang w:val="uk-UA"/>
        </w:rPr>
        <w:t>, в осередках до 30</w:t>
      </w:r>
      <w:r w:rsidR="004A3983">
        <w:rPr>
          <w:spacing w:val="-6"/>
          <w:sz w:val="28"/>
          <w:szCs w:val="28"/>
          <w:lang w:val="uk-UA"/>
        </w:rPr>
        <w:t>%</w:t>
      </w:r>
      <w:r w:rsidR="00463D3E">
        <w:rPr>
          <w:spacing w:val="-6"/>
          <w:sz w:val="28"/>
          <w:szCs w:val="28"/>
          <w:lang w:val="uk-UA"/>
        </w:rPr>
        <w:t xml:space="preserve"> (Київська обл.)</w:t>
      </w:r>
      <w:r w:rsidRPr="007A508D">
        <w:rPr>
          <w:spacing w:val="-6"/>
          <w:sz w:val="28"/>
          <w:szCs w:val="28"/>
          <w:lang w:val="uk-UA"/>
        </w:rPr>
        <w:t xml:space="preserve">. Розмноження та активного розселення не відмічається. Однак при цьому, </w:t>
      </w:r>
      <w:r w:rsidR="00EA1265">
        <w:rPr>
          <w:spacing w:val="-6"/>
          <w:sz w:val="28"/>
          <w:szCs w:val="28"/>
          <w:lang w:val="uk-UA"/>
        </w:rPr>
        <w:t>н</w:t>
      </w:r>
      <w:r w:rsidRPr="005E0F50">
        <w:rPr>
          <w:spacing w:val="-6"/>
          <w:sz w:val="28"/>
          <w:szCs w:val="28"/>
          <w:lang w:val="uk-UA"/>
        </w:rPr>
        <w:t xml:space="preserve">а </w:t>
      </w:r>
      <w:r>
        <w:rPr>
          <w:spacing w:val="-6"/>
          <w:sz w:val="28"/>
          <w:szCs w:val="28"/>
          <w:lang w:val="uk-UA"/>
        </w:rPr>
        <w:t xml:space="preserve">5-34% обстежених </w:t>
      </w:r>
      <w:r w:rsidRPr="005E0F50">
        <w:rPr>
          <w:spacing w:val="-6"/>
          <w:sz w:val="28"/>
          <w:szCs w:val="28"/>
          <w:lang w:val="uk-UA"/>
        </w:rPr>
        <w:t>посів</w:t>
      </w:r>
      <w:r>
        <w:rPr>
          <w:spacing w:val="-6"/>
          <w:sz w:val="28"/>
          <w:szCs w:val="28"/>
          <w:lang w:val="uk-UA"/>
        </w:rPr>
        <w:t xml:space="preserve">ів </w:t>
      </w:r>
      <w:r w:rsidRPr="005E0F50">
        <w:rPr>
          <w:b/>
          <w:i/>
          <w:spacing w:val="-6"/>
          <w:sz w:val="28"/>
          <w:szCs w:val="28"/>
          <w:lang w:val="uk-UA"/>
        </w:rPr>
        <w:t>озимих зернових</w:t>
      </w:r>
      <w:r w:rsidRPr="005E0F50">
        <w:rPr>
          <w:spacing w:val="-6"/>
          <w:sz w:val="28"/>
          <w:szCs w:val="28"/>
          <w:lang w:val="uk-UA"/>
        </w:rPr>
        <w:t xml:space="preserve"> культур</w:t>
      </w:r>
      <w:r>
        <w:rPr>
          <w:spacing w:val="-6"/>
          <w:sz w:val="28"/>
          <w:szCs w:val="28"/>
          <w:lang w:val="uk-UA"/>
        </w:rPr>
        <w:t xml:space="preserve"> та </w:t>
      </w:r>
      <w:r w:rsidRPr="00A657C7">
        <w:rPr>
          <w:b/>
          <w:bCs/>
          <w:i/>
          <w:iCs/>
          <w:spacing w:val="-6"/>
          <w:sz w:val="28"/>
          <w:szCs w:val="28"/>
          <w:lang w:val="uk-UA"/>
        </w:rPr>
        <w:t>ріпаку</w:t>
      </w:r>
      <w:r w:rsidR="004A3983">
        <w:rPr>
          <w:spacing w:val="-6"/>
          <w:sz w:val="28"/>
          <w:szCs w:val="28"/>
          <w:lang w:val="uk-UA"/>
        </w:rPr>
        <w:t xml:space="preserve"> деяких</w:t>
      </w:r>
      <w:r w:rsidRPr="005E0F50">
        <w:rPr>
          <w:spacing w:val="-6"/>
          <w:sz w:val="28"/>
          <w:szCs w:val="28"/>
          <w:lang w:val="uk-UA"/>
        </w:rPr>
        <w:t xml:space="preserve"> господарств</w:t>
      </w:r>
      <w:r w:rsidR="004A3983">
        <w:rPr>
          <w:spacing w:val="-6"/>
          <w:sz w:val="28"/>
          <w:szCs w:val="28"/>
          <w:lang w:val="uk-UA"/>
        </w:rPr>
        <w:t xml:space="preserve"> Дніпропетровської,</w:t>
      </w:r>
      <w:r w:rsidRPr="005E0F50">
        <w:rPr>
          <w:spacing w:val="-6"/>
          <w:sz w:val="28"/>
          <w:szCs w:val="28"/>
          <w:lang w:val="uk-UA"/>
        </w:rPr>
        <w:t xml:space="preserve"> </w:t>
      </w:r>
      <w:r w:rsidR="00463D3E">
        <w:rPr>
          <w:spacing w:val="-6"/>
          <w:sz w:val="28"/>
          <w:szCs w:val="28"/>
          <w:lang w:val="uk-UA"/>
        </w:rPr>
        <w:t xml:space="preserve">Київської, </w:t>
      </w:r>
      <w:r>
        <w:rPr>
          <w:spacing w:val="-6"/>
          <w:sz w:val="28"/>
          <w:szCs w:val="28"/>
          <w:lang w:val="uk-UA"/>
        </w:rPr>
        <w:t xml:space="preserve">Кіровоградської, Миколаївської, Сумської, </w:t>
      </w:r>
      <w:r w:rsidR="00EA1265">
        <w:rPr>
          <w:spacing w:val="-6"/>
          <w:sz w:val="28"/>
          <w:szCs w:val="28"/>
          <w:lang w:val="uk-UA"/>
        </w:rPr>
        <w:t xml:space="preserve">Харківської, </w:t>
      </w:r>
      <w:r>
        <w:rPr>
          <w:spacing w:val="-6"/>
          <w:sz w:val="28"/>
          <w:szCs w:val="28"/>
          <w:lang w:val="uk-UA"/>
        </w:rPr>
        <w:t>Чернівецької областей ч</w:t>
      </w:r>
      <w:r w:rsidRPr="005E0F50">
        <w:rPr>
          <w:spacing w:val="-6"/>
          <w:sz w:val="28"/>
          <w:szCs w:val="28"/>
          <w:lang w:val="uk-UA"/>
        </w:rPr>
        <w:t xml:space="preserve">исельність </w:t>
      </w:r>
      <w:r w:rsidRPr="00922327">
        <w:rPr>
          <w:bCs/>
          <w:spacing w:val="-6"/>
          <w:sz w:val="28"/>
          <w:szCs w:val="28"/>
          <w:lang w:val="uk-UA"/>
        </w:rPr>
        <w:t>гризунів</w:t>
      </w:r>
      <w:r w:rsidRPr="005E0F50">
        <w:rPr>
          <w:b/>
          <w:spacing w:val="-6"/>
          <w:sz w:val="28"/>
          <w:szCs w:val="28"/>
          <w:lang w:val="uk-UA"/>
        </w:rPr>
        <w:t xml:space="preserve"> </w:t>
      </w:r>
      <w:r w:rsidRPr="005E0F50">
        <w:rPr>
          <w:spacing w:val="-6"/>
          <w:sz w:val="28"/>
          <w:szCs w:val="28"/>
          <w:lang w:val="uk-UA"/>
        </w:rPr>
        <w:t>залишається на рівні 1-3</w:t>
      </w:r>
      <w:r>
        <w:rPr>
          <w:spacing w:val="-6"/>
          <w:sz w:val="28"/>
          <w:szCs w:val="28"/>
          <w:lang w:val="uk-UA"/>
        </w:rPr>
        <w:t xml:space="preserve"> </w:t>
      </w:r>
      <w:r w:rsidRPr="005E0F50">
        <w:rPr>
          <w:spacing w:val="-6"/>
          <w:sz w:val="28"/>
          <w:szCs w:val="28"/>
          <w:lang w:val="uk-UA"/>
        </w:rPr>
        <w:t xml:space="preserve">жилих колоній на гектарі. На </w:t>
      </w:r>
      <w:r w:rsidRPr="00A657C7">
        <w:rPr>
          <w:b/>
          <w:bCs/>
          <w:i/>
          <w:iCs/>
          <w:spacing w:val="-6"/>
          <w:sz w:val="28"/>
          <w:szCs w:val="28"/>
          <w:lang w:val="uk-UA"/>
        </w:rPr>
        <w:t>багаторічних травах</w:t>
      </w:r>
      <w:r>
        <w:rPr>
          <w:spacing w:val="-6"/>
          <w:sz w:val="28"/>
          <w:szCs w:val="28"/>
          <w:lang w:val="uk-UA"/>
        </w:rPr>
        <w:t xml:space="preserve">, </w:t>
      </w:r>
      <w:r w:rsidRPr="00A657C7">
        <w:rPr>
          <w:b/>
          <w:bCs/>
          <w:i/>
          <w:iCs/>
          <w:spacing w:val="-6"/>
          <w:sz w:val="28"/>
          <w:szCs w:val="28"/>
          <w:lang w:val="uk-UA"/>
        </w:rPr>
        <w:t>неорних</w:t>
      </w:r>
      <w:r>
        <w:rPr>
          <w:spacing w:val="-6"/>
          <w:sz w:val="28"/>
          <w:szCs w:val="28"/>
          <w:lang w:val="uk-UA"/>
        </w:rPr>
        <w:t xml:space="preserve"> землях</w:t>
      </w:r>
      <w:r w:rsidRPr="005E0F50">
        <w:rPr>
          <w:spacing w:val="-6"/>
          <w:sz w:val="28"/>
          <w:szCs w:val="28"/>
          <w:lang w:val="uk-UA"/>
        </w:rPr>
        <w:t xml:space="preserve"> зберігається 2-</w:t>
      </w:r>
      <w:r>
        <w:rPr>
          <w:spacing w:val="-6"/>
          <w:sz w:val="28"/>
          <w:szCs w:val="28"/>
          <w:lang w:val="uk-UA"/>
        </w:rPr>
        <w:t>4</w:t>
      </w:r>
      <w:r w:rsidRPr="005E0F50">
        <w:rPr>
          <w:spacing w:val="-6"/>
          <w:sz w:val="28"/>
          <w:szCs w:val="28"/>
          <w:lang w:val="uk-UA"/>
        </w:rPr>
        <w:t xml:space="preserve"> жилих колоній на гектарі. </w:t>
      </w:r>
    </w:p>
    <w:p w14:paraId="1B6D3A97" w14:textId="4B454D3D" w:rsidR="00EA1265" w:rsidRPr="008E1283" w:rsidRDefault="00EA1265" w:rsidP="008E1283">
      <w:pPr>
        <w:ind w:right="-18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Тому, з</w:t>
      </w:r>
      <w:r w:rsidR="007A508D" w:rsidRPr="007A508D">
        <w:rPr>
          <w:spacing w:val="-6"/>
          <w:sz w:val="28"/>
          <w:szCs w:val="28"/>
          <w:lang w:val="uk-UA"/>
        </w:rPr>
        <w:t xml:space="preserve">ахисні заходи залишаються актуальними у вищезазначених та інших областях, де варто продовжувати відслідковувати чисельність та шкідливість гризунів і за наявності порогової кількості (3-5 жилих колоній на гектар) здійснювати винищувальні заходи через внесення в жилі нори родентицидів дозволених до використання на території країни. </w:t>
      </w:r>
    </w:p>
    <w:p w14:paraId="7387876B" w14:textId="0A3CF951" w:rsidR="00EA1265" w:rsidRDefault="007A508D" w:rsidP="00922327">
      <w:pPr>
        <w:ind w:right="-185" w:firstLine="851"/>
        <w:jc w:val="both"/>
        <w:rPr>
          <w:spacing w:val="-6"/>
          <w:sz w:val="28"/>
          <w:szCs w:val="28"/>
          <w:lang w:val="uk-UA"/>
        </w:rPr>
      </w:pPr>
      <w:r w:rsidRPr="007A508D">
        <w:rPr>
          <w:spacing w:val="-6"/>
          <w:sz w:val="28"/>
          <w:szCs w:val="28"/>
          <w:lang w:val="uk-UA"/>
        </w:rPr>
        <w:t>Відбір монолітів озимих культур для визначення життєздатності рослин та їх відрощування засвідчують високу життєздатність рослин озимих пшениці, ячменю та озимого ріпаку</w:t>
      </w:r>
      <w:r w:rsidR="00EA1265">
        <w:rPr>
          <w:spacing w:val="-6"/>
          <w:sz w:val="28"/>
          <w:szCs w:val="28"/>
          <w:lang w:val="uk-UA"/>
        </w:rPr>
        <w:t xml:space="preserve">. </w:t>
      </w:r>
      <w:proofErr w:type="spellStart"/>
      <w:r w:rsidR="00EA1265" w:rsidRPr="007A508D">
        <w:rPr>
          <w:spacing w:val="-6"/>
          <w:sz w:val="28"/>
          <w:szCs w:val="28"/>
        </w:rPr>
        <w:t>Рослини</w:t>
      </w:r>
      <w:proofErr w:type="spellEnd"/>
      <w:r w:rsidR="00EA1265" w:rsidRPr="007A508D">
        <w:rPr>
          <w:spacing w:val="-6"/>
          <w:sz w:val="28"/>
          <w:szCs w:val="28"/>
        </w:rPr>
        <w:t xml:space="preserve"> </w:t>
      </w:r>
      <w:proofErr w:type="spellStart"/>
      <w:r w:rsidR="00EA1265" w:rsidRPr="007A508D">
        <w:rPr>
          <w:spacing w:val="-6"/>
          <w:sz w:val="28"/>
          <w:szCs w:val="28"/>
        </w:rPr>
        <w:t>озимих</w:t>
      </w:r>
      <w:proofErr w:type="spellEnd"/>
      <w:r w:rsidR="00EA1265" w:rsidRPr="007A508D">
        <w:rPr>
          <w:spacing w:val="-6"/>
          <w:sz w:val="28"/>
          <w:szCs w:val="28"/>
        </w:rPr>
        <w:t xml:space="preserve"> </w:t>
      </w:r>
      <w:proofErr w:type="spellStart"/>
      <w:r w:rsidR="00EA1265" w:rsidRPr="007A508D">
        <w:rPr>
          <w:spacing w:val="-6"/>
          <w:sz w:val="28"/>
          <w:szCs w:val="28"/>
        </w:rPr>
        <w:t>мають</w:t>
      </w:r>
      <w:proofErr w:type="spellEnd"/>
      <w:r w:rsidR="00EA1265" w:rsidRPr="007A508D">
        <w:rPr>
          <w:spacing w:val="-6"/>
          <w:sz w:val="28"/>
          <w:szCs w:val="28"/>
        </w:rPr>
        <w:t xml:space="preserve"> добру регенераційну здатність при їх відрощуванні. Відсоток </w:t>
      </w:r>
      <w:proofErr w:type="spellStart"/>
      <w:r w:rsidR="00EA1265" w:rsidRPr="007A508D">
        <w:rPr>
          <w:spacing w:val="-6"/>
          <w:sz w:val="28"/>
          <w:szCs w:val="28"/>
        </w:rPr>
        <w:t>живих</w:t>
      </w:r>
      <w:proofErr w:type="spellEnd"/>
      <w:r w:rsidR="00EA1265" w:rsidRPr="007A508D">
        <w:rPr>
          <w:spacing w:val="-6"/>
          <w:sz w:val="28"/>
          <w:szCs w:val="28"/>
        </w:rPr>
        <w:t xml:space="preserve"> </w:t>
      </w:r>
      <w:proofErr w:type="spellStart"/>
      <w:r w:rsidR="00EA1265" w:rsidRPr="007A508D">
        <w:rPr>
          <w:spacing w:val="-6"/>
          <w:sz w:val="28"/>
          <w:szCs w:val="28"/>
        </w:rPr>
        <w:t>рослин</w:t>
      </w:r>
      <w:proofErr w:type="spellEnd"/>
      <w:r w:rsidR="00EA1265" w:rsidRPr="007A508D">
        <w:rPr>
          <w:spacing w:val="-6"/>
          <w:sz w:val="28"/>
          <w:szCs w:val="28"/>
        </w:rPr>
        <w:t xml:space="preserve"> становить </w:t>
      </w:r>
      <w:proofErr w:type="gramStart"/>
      <w:r w:rsidR="00EA1265" w:rsidRPr="007A508D">
        <w:rPr>
          <w:spacing w:val="-6"/>
          <w:sz w:val="28"/>
          <w:szCs w:val="28"/>
        </w:rPr>
        <w:t>9</w:t>
      </w:r>
      <w:r w:rsidR="00922327">
        <w:rPr>
          <w:spacing w:val="-6"/>
          <w:sz w:val="28"/>
          <w:szCs w:val="28"/>
          <w:lang w:val="uk-UA"/>
        </w:rPr>
        <w:t>5-98</w:t>
      </w:r>
      <w:proofErr w:type="gramEnd"/>
      <w:r w:rsidR="00EA1265" w:rsidRPr="007A508D">
        <w:rPr>
          <w:spacing w:val="-6"/>
          <w:sz w:val="28"/>
          <w:szCs w:val="28"/>
        </w:rPr>
        <w:t xml:space="preserve">%, </w:t>
      </w:r>
      <w:proofErr w:type="spellStart"/>
      <w:r w:rsidR="00EA1265" w:rsidRPr="007A508D">
        <w:rPr>
          <w:spacing w:val="-6"/>
          <w:sz w:val="28"/>
          <w:szCs w:val="28"/>
        </w:rPr>
        <w:t>загиблих</w:t>
      </w:r>
      <w:proofErr w:type="spellEnd"/>
      <w:r w:rsidR="00EA1265" w:rsidRPr="007A508D">
        <w:rPr>
          <w:spacing w:val="-6"/>
          <w:sz w:val="28"/>
          <w:szCs w:val="28"/>
        </w:rPr>
        <w:t xml:space="preserve"> </w:t>
      </w:r>
      <w:r w:rsidR="004A3983">
        <w:rPr>
          <w:spacing w:val="-6"/>
          <w:sz w:val="28"/>
          <w:szCs w:val="28"/>
        </w:rPr>
        <w:t>–</w:t>
      </w:r>
      <w:r w:rsidR="00EA1265" w:rsidRPr="007A508D">
        <w:rPr>
          <w:spacing w:val="-6"/>
          <w:sz w:val="28"/>
          <w:szCs w:val="28"/>
        </w:rPr>
        <w:t xml:space="preserve"> </w:t>
      </w:r>
      <w:proofErr w:type="gramStart"/>
      <w:r w:rsidR="00463D3E">
        <w:rPr>
          <w:spacing w:val="-6"/>
          <w:sz w:val="28"/>
          <w:szCs w:val="28"/>
          <w:lang w:val="uk-UA"/>
        </w:rPr>
        <w:t>1,5</w:t>
      </w:r>
      <w:r w:rsidR="004A3983">
        <w:rPr>
          <w:spacing w:val="-6"/>
          <w:sz w:val="28"/>
          <w:szCs w:val="28"/>
          <w:lang w:val="uk-UA"/>
        </w:rPr>
        <w:t>-5</w:t>
      </w:r>
      <w:proofErr w:type="gramEnd"/>
      <w:r w:rsidR="00EA1265" w:rsidRPr="007A508D">
        <w:rPr>
          <w:spacing w:val="-6"/>
          <w:sz w:val="28"/>
          <w:szCs w:val="28"/>
        </w:rPr>
        <w:t>% (</w:t>
      </w:r>
      <w:r w:rsidR="004A3983">
        <w:rPr>
          <w:spacing w:val="-6"/>
          <w:sz w:val="28"/>
          <w:szCs w:val="28"/>
          <w:lang w:val="uk-UA"/>
        </w:rPr>
        <w:t>Дніпропетровська</w:t>
      </w:r>
      <w:r w:rsidR="00463D3E">
        <w:rPr>
          <w:spacing w:val="-6"/>
          <w:sz w:val="28"/>
          <w:szCs w:val="28"/>
          <w:lang w:val="uk-UA"/>
        </w:rPr>
        <w:t>, Чернівецька</w:t>
      </w:r>
      <w:r w:rsidR="00EA1265" w:rsidRPr="007A508D">
        <w:rPr>
          <w:spacing w:val="-6"/>
          <w:sz w:val="28"/>
          <w:szCs w:val="28"/>
        </w:rPr>
        <w:t xml:space="preserve"> обл.). Лабораторним аналізом рослин озимини, відібраних з монолітів, виявлено інфекційний запас збудників </w:t>
      </w:r>
      <w:r w:rsidR="00EA1265" w:rsidRPr="00922327">
        <w:rPr>
          <w:b/>
          <w:bCs/>
          <w:spacing w:val="-6"/>
          <w:sz w:val="28"/>
          <w:szCs w:val="28"/>
        </w:rPr>
        <w:t>борошнистої роси</w:t>
      </w:r>
      <w:r w:rsidR="00EA1265" w:rsidRPr="007A508D">
        <w:rPr>
          <w:spacing w:val="-6"/>
          <w:sz w:val="28"/>
          <w:szCs w:val="28"/>
        </w:rPr>
        <w:t xml:space="preserve">, </w:t>
      </w:r>
      <w:r w:rsidR="00EA1265" w:rsidRPr="00922327">
        <w:rPr>
          <w:b/>
          <w:bCs/>
          <w:spacing w:val="-6"/>
          <w:sz w:val="28"/>
          <w:szCs w:val="28"/>
        </w:rPr>
        <w:t>септоріозу</w:t>
      </w:r>
      <w:r w:rsidR="00EA1265" w:rsidRPr="007A508D">
        <w:rPr>
          <w:spacing w:val="-6"/>
          <w:sz w:val="28"/>
          <w:szCs w:val="28"/>
        </w:rPr>
        <w:t xml:space="preserve">, </w:t>
      </w:r>
      <w:r w:rsidR="00EA1265" w:rsidRPr="00922327">
        <w:rPr>
          <w:b/>
          <w:bCs/>
          <w:spacing w:val="-6"/>
          <w:sz w:val="28"/>
          <w:szCs w:val="28"/>
        </w:rPr>
        <w:t>гельмінтоспоріозу</w:t>
      </w:r>
      <w:r w:rsidR="00EA1265" w:rsidRPr="007A508D">
        <w:rPr>
          <w:spacing w:val="-6"/>
          <w:sz w:val="28"/>
          <w:szCs w:val="28"/>
        </w:rPr>
        <w:t xml:space="preserve">, </w:t>
      </w:r>
      <w:r w:rsidR="00EA1265" w:rsidRPr="00922327">
        <w:rPr>
          <w:b/>
          <w:bCs/>
          <w:spacing w:val="-6"/>
          <w:sz w:val="28"/>
          <w:szCs w:val="28"/>
        </w:rPr>
        <w:t>кореневих гнилей</w:t>
      </w:r>
      <w:r w:rsidR="00EA1265" w:rsidRPr="007A508D">
        <w:rPr>
          <w:spacing w:val="-6"/>
          <w:sz w:val="28"/>
          <w:szCs w:val="28"/>
        </w:rPr>
        <w:t xml:space="preserve">, інших хвороб. </w:t>
      </w:r>
    </w:p>
    <w:p w14:paraId="271EA2EB" w14:textId="3CB10370" w:rsidR="007A508D" w:rsidRDefault="00EA1265" w:rsidP="008E1283">
      <w:pPr>
        <w:ind w:right="-185" w:firstLine="851"/>
        <w:jc w:val="both"/>
        <w:rPr>
          <w:spacing w:val="-6"/>
          <w:sz w:val="28"/>
          <w:szCs w:val="28"/>
          <w:lang w:val="uk-UA"/>
        </w:rPr>
      </w:pPr>
      <w:r w:rsidRPr="007A508D">
        <w:rPr>
          <w:spacing w:val="-6"/>
          <w:sz w:val="28"/>
          <w:szCs w:val="28"/>
        </w:rPr>
        <w:t xml:space="preserve">За відновлення вегетації відбуватиметься зараження рослин вищевказаними хворобами. Ефективним заходом оздоровлення рослин та покращення стану посівів є ранньовесняне боронування з </w:t>
      </w:r>
      <w:proofErr w:type="spellStart"/>
      <w:r w:rsidRPr="007A508D">
        <w:rPr>
          <w:spacing w:val="-6"/>
          <w:sz w:val="28"/>
          <w:szCs w:val="28"/>
        </w:rPr>
        <w:t>прикореневим</w:t>
      </w:r>
      <w:proofErr w:type="spellEnd"/>
      <w:r w:rsidRPr="007A508D">
        <w:rPr>
          <w:spacing w:val="-6"/>
          <w:sz w:val="28"/>
          <w:szCs w:val="28"/>
        </w:rPr>
        <w:t xml:space="preserve"> </w:t>
      </w:r>
      <w:proofErr w:type="spellStart"/>
      <w:r w:rsidRPr="007A508D">
        <w:rPr>
          <w:spacing w:val="-6"/>
          <w:sz w:val="28"/>
          <w:szCs w:val="28"/>
        </w:rPr>
        <w:t>підживленням</w:t>
      </w:r>
      <w:proofErr w:type="spellEnd"/>
      <w:r w:rsidRPr="007A508D">
        <w:rPr>
          <w:spacing w:val="-6"/>
          <w:sz w:val="28"/>
          <w:szCs w:val="28"/>
        </w:rPr>
        <w:t xml:space="preserve"> </w:t>
      </w:r>
      <w:proofErr w:type="spellStart"/>
      <w:r w:rsidRPr="007A508D">
        <w:rPr>
          <w:spacing w:val="-6"/>
          <w:sz w:val="28"/>
          <w:szCs w:val="28"/>
        </w:rPr>
        <w:t>мінеральними</w:t>
      </w:r>
      <w:proofErr w:type="spellEnd"/>
      <w:r w:rsidRPr="007A508D">
        <w:rPr>
          <w:spacing w:val="-6"/>
          <w:sz w:val="28"/>
          <w:szCs w:val="28"/>
        </w:rPr>
        <w:t xml:space="preserve"> </w:t>
      </w:r>
      <w:proofErr w:type="spellStart"/>
      <w:r w:rsidRPr="007A508D">
        <w:rPr>
          <w:spacing w:val="-6"/>
          <w:sz w:val="28"/>
          <w:szCs w:val="28"/>
        </w:rPr>
        <w:t>добривами</w:t>
      </w:r>
      <w:proofErr w:type="spellEnd"/>
      <w:r w:rsidRPr="007A508D">
        <w:rPr>
          <w:spacing w:val="-6"/>
          <w:sz w:val="28"/>
          <w:szCs w:val="28"/>
        </w:rPr>
        <w:t>.</w:t>
      </w:r>
    </w:p>
    <w:p w14:paraId="18685FD1" w14:textId="6DDDB734" w:rsidR="007A508D" w:rsidRDefault="007A508D" w:rsidP="008E1283">
      <w:pPr>
        <w:ind w:right="-185" w:firstLine="851"/>
        <w:jc w:val="both"/>
        <w:rPr>
          <w:spacing w:val="-6"/>
          <w:sz w:val="28"/>
          <w:szCs w:val="28"/>
          <w:lang w:val="uk-UA"/>
        </w:rPr>
      </w:pPr>
      <w:r w:rsidRPr="007A508D">
        <w:rPr>
          <w:spacing w:val="-6"/>
          <w:sz w:val="28"/>
          <w:szCs w:val="28"/>
          <w:lang w:val="uk-UA"/>
        </w:rPr>
        <w:t>Лабораторною фітоекспертизою</w:t>
      </w:r>
      <w:r w:rsidR="009902DE">
        <w:rPr>
          <w:spacing w:val="-6"/>
          <w:sz w:val="28"/>
          <w:szCs w:val="28"/>
          <w:lang w:val="uk-UA"/>
        </w:rPr>
        <w:t xml:space="preserve"> зерна</w:t>
      </w:r>
      <w:r w:rsidRPr="007A508D">
        <w:rPr>
          <w:spacing w:val="-6"/>
          <w:sz w:val="28"/>
          <w:szCs w:val="28"/>
          <w:lang w:val="uk-UA"/>
        </w:rPr>
        <w:t xml:space="preserve"> </w:t>
      </w:r>
      <w:r w:rsidR="009902DE" w:rsidRPr="009902DE">
        <w:rPr>
          <w:b/>
          <w:bCs/>
          <w:i/>
          <w:iCs/>
          <w:spacing w:val="-6"/>
          <w:sz w:val="28"/>
          <w:szCs w:val="28"/>
          <w:lang w:val="uk-UA"/>
        </w:rPr>
        <w:t>ярих зернових</w:t>
      </w:r>
      <w:r w:rsidR="009902DE">
        <w:rPr>
          <w:spacing w:val="-6"/>
          <w:sz w:val="28"/>
          <w:szCs w:val="28"/>
          <w:lang w:val="uk-UA"/>
        </w:rPr>
        <w:t xml:space="preserve"> </w:t>
      </w:r>
      <w:r w:rsidR="004A3983">
        <w:rPr>
          <w:spacing w:val="-6"/>
          <w:sz w:val="28"/>
          <w:szCs w:val="28"/>
          <w:lang w:val="uk-UA"/>
        </w:rPr>
        <w:t xml:space="preserve">та </w:t>
      </w:r>
      <w:r w:rsidR="004A3983" w:rsidRPr="004A3983">
        <w:rPr>
          <w:b/>
          <w:bCs/>
          <w:i/>
          <w:iCs/>
          <w:spacing w:val="-6"/>
          <w:sz w:val="28"/>
          <w:szCs w:val="28"/>
          <w:lang w:val="uk-UA"/>
        </w:rPr>
        <w:t xml:space="preserve">зернобобових </w:t>
      </w:r>
      <w:r w:rsidR="009902DE">
        <w:rPr>
          <w:spacing w:val="-6"/>
          <w:sz w:val="28"/>
          <w:szCs w:val="28"/>
          <w:lang w:val="uk-UA"/>
        </w:rPr>
        <w:t>культур в</w:t>
      </w:r>
      <w:r w:rsidRPr="007A508D">
        <w:rPr>
          <w:spacing w:val="-6"/>
          <w:sz w:val="28"/>
          <w:szCs w:val="28"/>
          <w:lang w:val="uk-UA"/>
        </w:rPr>
        <w:t xml:space="preserve">иявлено зараженість його збудниками </w:t>
      </w:r>
      <w:r w:rsidRPr="009902DE">
        <w:rPr>
          <w:b/>
          <w:bCs/>
          <w:spacing w:val="-6"/>
          <w:sz w:val="28"/>
          <w:szCs w:val="28"/>
          <w:lang w:val="uk-UA"/>
        </w:rPr>
        <w:t>гельмінтоспоріозу</w:t>
      </w:r>
      <w:r w:rsidRPr="007A508D">
        <w:rPr>
          <w:spacing w:val="-6"/>
          <w:sz w:val="28"/>
          <w:szCs w:val="28"/>
          <w:lang w:val="uk-UA"/>
        </w:rPr>
        <w:t xml:space="preserve">, </w:t>
      </w:r>
      <w:r w:rsidRPr="009902DE">
        <w:rPr>
          <w:b/>
          <w:bCs/>
          <w:spacing w:val="-6"/>
          <w:sz w:val="28"/>
          <w:szCs w:val="28"/>
          <w:lang w:val="uk-UA"/>
        </w:rPr>
        <w:t>фузаріозу, аскохітозу</w:t>
      </w:r>
      <w:r w:rsidRPr="007A508D">
        <w:rPr>
          <w:spacing w:val="-6"/>
          <w:sz w:val="28"/>
          <w:szCs w:val="28"/>
          <w:lang w:val="uk-UA"/>
        </w:rPr>
        <w:t xml:space="preserve">, </w:t>
      </w:r>
      <w:r w:rsidRPr="009902DE">
        <w:rPr>
          <w:b/>
          <w:bCs/>
          <w:spacing w:val="-6"/>
          <w:sz w:val="28"/>
          <w:szCs w:val="28"/>
          <w:lang w:val="uk-UA"/>
        </w:rPr>
        <w:t>бактеріозу</w:t>
      </w:r>
      <w:r w:rsidRPr="007A508D">
        <w:rPr>
          <w:spacing w:val="-6"/>
          <w:sz w:val="28"/>
          <w:szCs w:val="28"/>
          <w:lang w:val="uk-UA"/>
        </w:rPr>
        <w:t xml:space="preserve">, </w:t>
      </w:r>
      <w:r w:rsidRPr="009902DE">
        <w:rPr>
          <w:b/>
          <w:bCs/>
          <w:spacing w:val="-6"/>
          <w:sz w:val="28"/>
          <w:szCs w:val="28"/>
          <w:lang w:val="uk-UA"/>
        </w:rPr>
        <w:t>плісені</w:t>
      </w:r>
      <w:r w:rsidRPr="007A508D">
        <w:rPr>
          <w:spacing w:val="-6"/>
          <w:sz w:val="28"/>
          <w:szCs w:val="28"/>
          <w:lang w:val="uk-UA"/>
        </w:rPr>
        <w:t xml:space="preserve"> в межах </w:t>
      </w:r>
      <w:r w:rsidR="00EA1265">
        <w:rPr>
          <w:spacing w:val="-6"/>
          <w:sz w:val="28"/>
          <w:szCs w:val="28"/>
          <w:lang w:val="uk-UA"/>
        </w:rPr>
        <w:t>0,5-4</w:t>
      </w:r>
      <w:r w:rsidRPr="007A508D">
        <w:rPr>
          <w:spacing w:val="-6"/>
          <w:sz w:val="28"/>
          <w:szCs w:val="28"/>
          <w:lang w:val="uk-UA"/>
        </w:rPr>
        <w:t xml:space="preserve">%. Такий насіннєвий матеріал, за 2-3 тижні до сівби, </w:t>
      </w:r>
      <w:r w:rsidR="004A3983">
        <w:rPr>
          <w:spacing w:val="-6"/>
          <w:sz w:val="28"/>
          <w:szCs w:val="28"/>
          <w:lang w:val="uk-UA"/>
        </w:rPr>
        <w:t>потребує обов</w:t>
      </w:r>
      <w:r w:rsidR="004A3983" w:rsidRPr="004A3983">
        <w:rPr>
          <w:spacing w:val="-6"/>
          <w:sz w:val="28"/>
          <w:szCs w:val="28"/>
          <w:lang w:val="uk-UA"/>
        </w:rPr>
        <w:t>’</w:t>
      </w:r>
      <w:r w:rsidR="004A3983">
        <w:rPr>
          <w:spacing w:val="-6"/>
          <w:sz w:val="28"/>
          <w:szCs w:val="28"/>
          <w:lang w:val="uk-UA"/>
        </w:rPr>
        <w:t xml:space="preserve">язкового протруєння </w:t>
      </w:r>
      <w:r w:rsidRPr="007A508D">
        <w:rPr>
          <w:spacing w:val="-6"/>
          <w:sz w:val="28"/>
          <w:szCs w:val="28"/>
          <w:lang w:val="uk-UA"/>
        </w:rPr>
        <w:t xml:space="preserve">препаратами відповідного спектра фунгітоксичної дії та рівня захисної спроможності стосовно комплексу </w:t>
      </w:r>
      <w:proofErr w:type="spellStart"/>
      <w:r w:rsidRPr="007A508D">
        <w:rPr>
          <w:spacing w:val="-6"/>
          <w:sz w:val="28"/>
          <w:szCs w:val="28"/>
          <w:lang w:val="uk-UA"/>
        </w:rPr>
        <w:t>хвороб</w:t>
      </w:r>
      <w:proofErr w:type="spellEnd"/>
      <w:r w:rsidRPr="007A508D">
        <w:rPr>
          <w:spacing w:val="-6"/>
          <w:sz w:val="28"/>
          <w:szCs w:val="28"/>
          <w:lang w:val="uk-UA"/>
        </w:rPr>
        <w:t>.</w:t>
      </w:r>
    </w:p>
    <w:p w14:paraId="2D1D2927" w14:textId="5784C815" w:rsidR="00F07DFB" w:rsidRDefault="00A657C7" w:rsidP="00922327">
      <w:pPr>
        <w:ind w:right="-185" w:firstLine="851"/>
        <w:jc w:val="both"/>
        <w:rPr>
          <w:spacing w:val="-6"/>
          <w:sz w:val="28"/>
          <w:szCs w:val="28"/>
          <w:lang w:val="uk-UA"/>
        </w:rPr>
      </w:pPr>
      <w:r w:rsidRPr="00A657C7">
        <w:rPr>
          <w:sz w:val="28"/>
          <w:szCs w:val="28"/>
          <w:lang w:val="uk-UA"/>
        </w:rPr>
        <w:t xml:space="preserve">Моніторинг зерносховищ та складських приміщень на наявність </w:t>
      </w:r>
      <w:r w:rsidRPr="00A657C7">
        <w:rPr>
          <w:b/>
          <w:bCs/>
          <w:sz w:val="28"/>
          <w:szCs w:val="28"/>
          <w:lang w:val="uk-UA"/>
        </w:rPr>
        <w:t>комірних шкідників</w:t>
      </w:r>
      <w:r w:rsidRPr="00A657C7">
        <w:rPr>
          <w:sz w:val="28"/>
          <w:szCs w:val="28"/>
          <w:lang w:val="uk-UA"/>
        </w:rPr>
        <w:t xml:space="preserve"> показав зараженість</w:t>
      </w:r>
      <w:r w:rsidR="00463D3E">
        <w:rPr>
          <w:sz w:val="28"/>
          <w:szCs w:val="28"/>
          <w:lang w:val="uk-UA"/>
        </w:rPr>
        <w:t xml:space="preserve"> продовольчого та</w:t>
      </w:r>
      <w:r w:rsidRPr="00A657C7">
        <w:rPr>
          <w:sz w:val="28"/>
          <w:szCs w:val="28"/>
          <w:lang w:val="uk-UA"/>
        </w:rPr>
        <w:t xml:space="preserve"> фуражного зерна пшениці</w:t>
      </w:r>
      <w:r w:rsidR="00152D74">
        <w:rPr>
          <w:sz w:val="28"/>
          <w:szCs w:val="28"/>
          <w:lang w:val="uk-UA"/>
        </w:rPr>
        <w:t>, ячменю,</w:t>
      </w:r>
      <w:r w:rsidRPr="00A657C7">
        <w:rPr>
          <w:sz w:val="28"/>
          <w:szCs w:val="28"/>
          <w:lang w:val="uk-UA"/>
        </w:rPr>
        <w:t xml:space="preserve"> в якому виявлено </w:t>
      </w:r>
      <w:r w:rsidRPr="00EA1265">
        <w:rPr>
          <w:b/>
          <w:bCs/>
          <w:sz w:val="28"/>
          <w:szCs w:val="28"/>
          <w:lang w:val="uk-UA"/>
        </w:rPr>
        <w:t>борошняного кліща</w:t>
      </w:r>
      <w:r w:rsidR="00152D74">
        <w:rPr>
          <w:sz w:val="28"/>
          <w:szCs w:val="28"/>
          <w:lang w:val="uk-UA"/>
        </w:rPr>
        <w:t xml:space="preserve">, </w:t>
      </w:r>
      <w:r w:rsidR="00152D74" w:rsidRPr="00EA1265">
        <w:rPr>
          <w:b/>
          <w:bCs/>
          <w:sz w:val="28"/>
          <w:szCs w:val="28"/>
          <w:lang w:val="uk-UA"/>
        </w:rPr>
        <w:t>малого хрущака</w:t>
      </w:r>
      <w:r w:rsidR="00152D74">
        <w:rPr>
          <w:sz w:val="28"/>
          <w:szCs w:val="28"/>
          <w:lang w:val="uk-UA"/>
        </w:rPr>
        <w:t xml:space="preserve">, </w:t>
      </w:r>
      <w:r w:rsidR="00152D74" w:rsidRPr="00EA1265">
        <w:rPr>
          <w:b/>
          <w:bCs/>
          <w:sz w:val="28"/>
          <w:szCs w:val="28"/>
          <w:lang w:val="uk-UA"/>
        </w:rPr>
        <w:t>зернову міль</w:t>
      </w:r>
      <w:r>
        <w:rPr>
          <w:sz w:val="28"/>
          <w:szCs w:val="28"/>
          <w:lang w:val="uk-UA"/>
        </w:rPr>
        <w:t xml:space="preserve"> у чисельності</w:t>
      </w:r>
      <w:r w:rsidR="00A01B99">
        <w:rPr>
          <w:sz w:val="28"/>
          <w:szCs w:val="28"/>
          <w:lang w:val="uk-UA"/>
        </w:rPr>
        <w:t xml:space="preserve"> </w:t>
      </w:r>
      <w:r w:rsidR="004A3983">
        <w:rPr>
          <w:sz w:val="28"/>
          <w:szCs w:val="28"/>
          <w:lang w:val="uk-UA"/>
        </w:rPr>
        <w:t>1</w:t>
      </w:r>
      <w:r w:rsidR="00152D74">
        <w:rPr>
          <w:sz w:val="28"/>
          <w:szCs w:val="28"/>
          <w:lang w:val="uk-UA"/>
        </w:rPr>
        <w:t>-</w:t>
      </w:r>
      <w:r w:rsidRPr="00A657C7">
        <w:rPr>
          <w:sz w:val="28"/>
          <w:szCs w:val="28"/>
          <w:lang w:val="uk-UA"/>
        </w:rPr>
        <w:t xml:space="preserve">3 </w:t>
      </w:r>
      <w:proofErr w:type="spellStart"/>
      <w:r w:rsidRPr="00A657C7">
        <w:rPr>
          <w:sz w:val="28"/>
          <w:szCs w:val="28"/>
          <w:lang w:val="uk-UA"/>
        </w:rPr>
        <w:t>екз</w:t>
      </w:r>
      <w:proofErr w:type="spellEnd"/>
      <w:r w:rsidRPr="00A657C7">
        <w:rPr>
          <w:sz w:val="28"/>
          <w:szCs w:val="28"/>
          <w:lang w:val="uk-UA"/>
        </w:rPr>
        <w:t xml:space="preserve">. на кг </w:t>
      </w:r>
      <w:r>
        <w:rPr>
          <w:sz w:val="28"/>
          <w:szCs w:val="28"/>
          <w:lang w:val="uk-UA"/>
        </w:rPr>
        <w:t>виїмки зерна (Рівненська</w:t>
      </w:r>
      <w:r w:rsidR="00152D74">
        <w:rPr>
          <w:sz w:val="28"/>
          <w:szCs w:val="28"/>
          <w:lang w:val="uk-UA"/>
        </w:rPr>
        <w:t xml:space="preserve">, </w:t>
      </w:r>
      <w:r w:rsidR="00EA1265">
        <w:rPr>
          <w:sz w:val="28"/>
          <w:szCs w:val="28"/>
          <w:lang w:val="uk-UA"/>
        </w:rPr>
        <w:t xml:space="preserve">Тернопільська, </w:t>
      </w:r>
      <w:r w:rsidR="00152D74">
        <w:rPr>
          <w:sz w:val="28"/>
          <w:szCs w:val="28"/>
          <w:lang w:val="uk-UA"/>
        </w:rPr>
        <w:t>Хмельницька</w:t>
      </w:r>
      <w:r>
        <w:rPr>
          <w:sz w:val="28"/>
          <w:szCs w:val="28"/>
          <w:lang w:val="uk-UA"/>
        </w:rPr>
        <w:t xml:space="preserve"> обл.).</w:t>
      </w:r>
      <w:r w:rsidR="009902DE" w:rsidRPr="009902DE">
        <w:rPr>
          <w:spacing w:val="-6"/>
          <w:sz w:val="28"/>
          <w:szCs w:val="28"/>
          <w:lang w:val="uk-UA"/>
        </w:rPr>
        <w:t xml:space="preserve"> </w:t>
      </w:r>
      <w:r w:rsidR="009902DE" w:rsidRPr="007A508D">
        <w:rPr>
          <w:spacing w:val="-6"/>
          <w:sz w:val="28"/>
          <w:szCs w:val="28"/>
        </w:rPr>
        <w:t xml:space="preserve">Тому, контроль за станом збереження зерна та зернопродуктів варто проводити постійно і в разі виявлення живих комірних шкідників приступити до обеззаражування збіжжя через фумігацію дозволеними препаратами </w:t>
      </w:r>
      <w:proofErr w:type="spellStart"/>
      <w:r w:rsidR="009902DE" w:rsidRPr="007A508D">
        <w:rPr>
          <w:spacing w:val="-6"/>
          <w:sz w:val="28"/>
          <w:szCs w:val="28"/>
        </w:rPr>
        <w:t>відповідно</w:t>
      </w:r>
      <w:proofErr w:type="spellEnd"/>
      <w:r w:rsidR="009902DE" w:rsidRPr="007A508D">
        <w:rPr>
          <w:spacing w:val="-6"/>
          <w:sz w:val="28"/>
          <w:szCs w:val="28"/>
        </w:rPr>
        <w:t xml:space="preserve"> до </w:t>
      </w:r>
      <w:proofErr w:type="spellStart"/>
      <w:r w:rsidR="009902DE" w:rsidRPr="007A508D">
        <w:rPr>
          <w:spacing w:val="-6"/>
          <w:sz w:val="28"/>
          <w:szCs w:val="28"/>
        </w:rPr>
        <w:t>діючої</w:t>
      </w:r>
      <w:proofErr w:type="spellEnd"/>
      <w:r w:rsidR="009902DE" w:rsidRPr="007A508D">
        <w:rPr>
          <w:spacing w:val="-6"/>
          <w:sz w:val="28"/>
          <w:szCs w:val="28"/>
        </w:rPr>
        <w:t xml:space="preserve"> </w:t>
      </w:r>
      <w:proofErr w:type="spellStart"/>
      <w:r w:rsidR="009902DE" w:rsidRPr="007A508D">
        <w:rPr>
          <w:spacing w:val="-6"/>
          <w:sz w:val="28"/>
          <w:szCs w:val="28"/>
        </w:rPr>
        <w:t>рекомендації</w:t>
      </w:r>
      <w:proofErr w:type="spellEnd"/>
      <w:r w:rsidR="009902DE" w:rsidRPr="007A508D">
        <w:rPr>
          <w:spacing w:val="-6"/>
          <w:sz w:val="28"/>
          <w:szCs w:val="28"/>
        </w:rPr>
        <w:t>.</w:t>
      </w:r>
    </w:p>
    <w:p w14:paraId="7F161055" w14:textId="46A8EB85" w:rsidR="008E1283" w:rsidRPr="000A04AA" w:rsidRDefault="000A04AA" w:rsidP="000A04AA">
      <w:pPr>
        <w:ind w:right="-6" w:firstLine="720"/>
        <w:jc w:val="both"/>
        <w:rPr>
          <w:sz w:val="28"/>
          <w:szCs w:val="28"/>
          <w:lang w:val="uk-UA"/>
        </w:rPr>
      </w:pPr>
      <w:r w:rsidRPr="001E24DB">
        <w:rPr>
          <w:sz w:val="28"/>
          <w:szCs w:val="28"/>
          <w:lang w:val="uk-UA"/>
        </w:rPr>
        <w:lastRenderedPageBreak/>
        <w:t xml:space="preserve">У господарствах здійснюється фітосанітарний нагляд за посівами зимуючих культур. </w:t>
      </w:r>
    </w:p>
    <w:p w14:paraId="40401FBF" w14:textId="77777777" w:rsidR="008E1283" w:rsidRDefault="008E1283" w:rsidP="008E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 w:rsidRPr="00B73E04">
        <w:rPr>
          <w:spacing w:val="-6"/>
          <w:sz w:val="28"/>
          <w:szCs w:val="28"/>
        </w:rPr>
        <w:t xml:space="preserve">За оперативною </w:t>
      </w:r>
      <w:proofErr w:type="spellStart"/>
      <w:r w:rsidRPr="00B73E04">
        <w:rPr>
          <w:spacing w:val="-6"/>
          <w:sz w:val="28"/>
          <w:szCs w:val="28"/>
        </w:rPr>
        <w:t>інформацією</w:t>
      </w:r>
      <w:proofErr w:type="spellEnd"/>
      <w:r w:rsidRPr="00B73E04">
        <w:rPr>
          <w:spacing w:val="-6"/>
          <w:sz w:val="28"/>
          <w:szCs w:val="28"/>
        </w:rPr>
        <w:t xml:space="preserve"> про </w:t>
      </w:r>
      <w:proofErr w:type="spellStart"/>
      <w:r w:rsidRPr="00B73E04">
        <w:rPr>
          <w:spacing w:val="-6"/>
          <w:sz w:val="28"/>
          <w:szCs w:val="28"/>
        </w:rPr>
        <w:t>хід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робіт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із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захисту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рослин</w:t>
      </w:r>
      <w:proofErr w:type="spellEnd"/>
      <w:r w:rsidRPr="00B73E04">
        <w:rPr>
          <w:spacing w:val="-6"/>
          <w:sz w:val="28"/>
          <w:szCs w:val="28"/>
        </w:rPr>
        <w:t xml:space="preserve">, </w:t>
      </w:r>
      <w:proofErr w:type="spellStart"/>
      <w:r w:rsidRPr="00B73E04">
        <w:rPr>
          <w:spacing w:val="-6"/>
          <w:sz w:val="28"/>
          <w:szCs w:val="28"/>
        </w:rPr>
        <w:t>наданою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Головними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управліннями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Держпродспоживслужби</w:t>
      </w:r>
      <w:proofErr w:type="spellEnd"/>
      <w:r w:rsidRPr="00B73E04">
        <w:rPr>
          <w:spacing w:val="-6"/>
          <w:sz w:val="28"/>
          <w:szCs w:val="28"/>
        </w:rPr>
        <w:t xml:space="preserve"> в областях</w:t>
      </w:r>
      <w:r w:rsidRPr="00B73E04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>
        <w:rPr>
          <w:spacing w:val="-6"/>
          <w:sz w:val="28"/>
          <w:szCs w:val="28"/>
          <w:lang w:val="uk-UA"/>
        </w:rPr>
        <w:t xml:space="preserve">05.02.2026 </w:t>
      </w:r>
      <w:r w:rsidRPr="00B73E04">
        <w:rPr>
          <w:spacing w:val="-6"/>
          <w:sz w:val="28"/>
          <w:szCs w:val="28"/>
          <w:lang w:val="uk-UA"/>
        </w:rPr>
        <w:t>року захист сільськогосподарських культур</w:t>
      </w:r>
      <w:r>
        <w:rPr>
          <w:spacing w:val="-6"/>
          <w:sz w:val="28"/>
          <w:szCs w:val="28"/>
          <w:lang w:val="uk-UA"/>
        </w:rPr>
        <w:t xml:space="preserve"> проти мишоподібних гризунів, наразі становить </w:t>
      </w:r>
      <w:r w:rsidRPr="00B73E04">
        <w:rPr>
          <w:sz w:val="28"/>
          <w:szCs w:val="28"/>
          <w:lang w:val="uk-UA"/>
        </w:rPr>
        <w:t xml:space="preserve">– </w:t>
      </w:r>
      <w:r>
        <w:rPr>
          <w:spacing w:val="-6"/>
          <w:sz w:val="28"/>
          <w:szCs w:val="28"/>
          <w:lang w:val="uk-UA"/>
        </w:rPr>
        <w:t>234,4 тис. га з них:</w:t>
      </w:r>
    </w:p>
    <w:p w14:paraId="770EAD03" w14:textId="77777777" w:rsidR="008E1283" w:rsidRPr="00B73E04" w:rsidRDefault="008E1283" w:rsidP="008E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озимі зернові культури</w:t>
      </w:r>
      <w:bookmarkStart w:id="0" w:name="_Hlk218767395"/>
      <w:r w:rsidRPr="00B73E04">
        <w:rPr>
          <w:sz w:val="28"/>
          <w:szCs w:val="28"/>
          <w:lang w:val="uk-UA"/>
        </w:rPr>
        <w:t xml:space="preserve"> – </w:t>
      </w:r>
      <w:bookmarkEnd w:id="0"/>
      <w:r>
        <w:rPr>
          <w:sz w:val="28"/>
          <w:szCs w:val="28"/>
          <w:lang w:val="uk-UA"/>
        </w:rPr>
        <w:t xml:space="preserve">127,4 </w:t>
      </w:r>
      <w:r w:rsidRPr="00B73E04">
        <w:rPr>
          <w:sz w:val="28"/>
          <w:szCs w:val="28"/>
          <w:lang w:val="uk-UA"/>
        </w:rPr>
        <w:t>тис. га;</w:t>
      </w:r>
    </w:p>
    <w:p w14:paraId="09104900" w14:textId="77777777" w:rsidR="008E1283" w:rsidRDefault="008E1283" w:rsidP="008E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bookmarkStart w:id="1" w:name="_Hlk141958779"/>
      <w:r>
        <w:rPr>
          <w:sz w:val="28"/>
          <w:szCs w:val="28"/>
          <w:lang w:val="uk-UA"/>
        </w:rPr>
        <w:t xml:space="preserve">озимий ріпак </w:t>
      </w:r>
      <w:r w:rsidRPr="00B73E04">
        <w:rPr>
          <w:sz w:val="28"/>
          <w:szCs w:val="28"/>
          <w:lang w:val="uk-UA"/>
        </w:rPr>
        <w:t xml:space="preserve">– </w:t>
      </w:r>
      <w:bookmarkEnd w:id="1"/>
      <w:r>
        <w:rPr>
          <w:sz w:val="28"/>
          <w:szCs w:val="28"/>
          <w:lang w:val="uk-UA"/>
        </w:rPr>
        <w:t xml:space="preserve">93,7  </w:t>
      </w:r>
      <w:r w:rsidRPr="00B73E04">
        <w:rPr>
          <w:sz w:val="28"/>
          <w:szCs w:val="28"/>
          <w:lang w:val="uk-UA"/>
        </w:rPr>
        <w:t>тис. га;</w:t>
      </w:r>
    </w:p>
    <w:p w14:paraId="50CD30AF" w14:textId="77777777" w:rsidR="008E1283" w:rsidRDefault="008E1283" w:rsidP="008E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багаторічні трави – 9,2 тис. га;</w:t>
      </w:r>
    </w:p>
    <w:p w14:paraId="6AD17F71" w14:textId="77777777" w:rsidR="008E1283" w:rsidRPr="00B73E04" w:rsidRDefault="008E1283" w:rsidP="008E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– 4,1  тис. гектарів.</w:t>
      </w:r>
    </w:p>
    <w:p w14:paraId="0212F20A" w14:textId="77777777" w:rsidR="008E1283" w:rsidRPr="00B73E04" w:rsidRDefault="008E1283" w:rsidP="008E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Хімічним метод проти мишоподібних гризунів оброблено </w:t>
      </w:r>
      <w:bookmarkStart w:id="2" w:name="_Hlk213323687"/>
      <w:r>
        <w:rPr>
          <w:sz w:val="28"/>
          <w:szCs w:val="28"/>
          <w:lang w:val="uk-UA"/>
        </w:rPr>
        <w:t>–</w:t>
      </w:r>
      <w:bookmarkEnd w:id="2"/>
      <w:r>
        <w:rPr>
          <w:sz w:val="28"/>
          <w:szCs w:val="28"/>
          <w:lang w:val="uk-UA"/>
        </w:rPr>
        <w:t xml:space="preserve"> 179,9 тис. га, біологічним методом – 54,5 тис. га.</w:t>
      </w:r>
    </w:p>
    <w:p w14:paraId="2BDC10F9" w14:textId="77777777" w:rsidR="008E1283" w:rsidRPr="00B73E04" w:rsidRDefault="008E1283" w:rsidP="008E1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/>
        <w:jc w:val="both"/>
        <w:rPr>
          <w:sz w:val="28"/>
          <w:szCs w:val="28"/>
          <w:lang w:val="uk-UA"/>
        </w:rPr>
      </w:pPr>
    </w:p>
    <w:p w14:paraId="3483E1CC" w14:textId="77777777" w:rsidR="008E1283" w:rsidRPr="00B37839" w:rsidRDefault="008E1283" w:rsidP="008E1283">
      <w:pPr>
        <w:rPr>
          <w:lang w:val="uk-UA"/>
        </w:rPr>
      </w:pPr>
      <w:r>
        <w:rPr>
          <w:noProof/>
        </w:rPr>
        <w:drawing>
          <wp:inline distT="0" distB="0" distL="0" distR="0" wp14:anchorId="427A2893" wp14:editId="63736498">
            <wp:extent cx="6210300" cy="5457825"/>
            <wp:effectExtent l="0" t="0" r="0" b="9525"/>
            <wp:docPr id="9492640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7139CC-A1EC-A0D2-118D-A2F7CBCCD3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CECB749" w14:textId="77777777" w:rsidR="008E1283" w:rsidRPr="008E1283" w:rsidRDefault="008E1283" w:rsidP="00922327">
      <w:pPr>
        <w:ind w:right="-185" w:firstLine="851"/>
        <w:jc w:val="both"/>
        <w:rPr>
          <w:sz w:val="28"/>
          <w:szCs w:val="28"/>
          <w:lang w:val="uk-UA"/>
        </w:rPr>
      </w:pPr>
    </w:p>
    <w:p w14:paraId="494F995C" w14:textId="77777777" w:rsidR="00152D74" w:rsidRDefault="00152D74" w:rsidP="00922327">
      <w:pPr>
        <w:ind w:right="-185" w:firstLine="851"/>
        <w:jc w:val="both"/>
        <w:rPr>
          <w:sz w:val="28"/>
          <w:szCs w:val="28"/>
          <w:lang w:val="uk-UA"/>
        </w:rPr>
      </w:pPr>
    </w:p>
    <w:sectPr w:rsidR="00152D74" w:rsidSect="008E128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32"/>
    <w:rsid w:val="000A04AA"/>
    <w:rsid w:val="000A11D9"/>
    <w:rsid w:val="00125B24"/>
    <w:rsid w:val="00134D55"/>
    <w:rsid w:val="00152D74"/>
    <w:rsid w:val="00463D3E"/>
    <w:rsid w:val="004A3983"/>
    <w:rsid w:val="0053318F"/>
    <w:rsid w:val="00621D7A"/>
    <w:rsid w:val="0069792D"/>
    <w:rsid w:val="007A508D"/>
    <w:rsid w:val="008E1283"/>
    <w:rsid w:val="00922327"/>
    <w:rsid w:val="009902DE"/>
    <w:rsid w:val="00A01B99"/>
    <w:rsid w:val="00A657C7"/>
    <w:rsid w:val="00C44C32"/>
    <w:rsid w:val="00DB0626"/>
    <w:rsid w:val="00E27DC8"/>
    <w:rsid w:val="00E44A28"/>
    <w:rsid w:val="00EA1265"/>
    <w:rsid w:val="00F0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3F2E"/>
  <w15:chartTrackingRefBased/>
  <w15:docId w15:val="{196EAF4F-9253-49E0-92A7-1EB8E7F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C3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4C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C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C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C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C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C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C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C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C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C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C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C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4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C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4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C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44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C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44C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44C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4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47;&#1047;&#1056;%20&#1075;&#1088;&#1072;&#1092;&#1110;&#1082;&#1080;%20-%20&#1047;&#1072;&#1093;&#1080;&#1089;&#1090;%20&#1074;%202025%20&#1088;&#1086;&#1094;&#111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05.02.2026 )</a:t>
            </a:r>
          </a:p>
        </c:rich>
      </c:tx>
      <c:layout>
        <c:manualLayout>
          <c:xMode val="edge"/>
          <c:yMode val="edge"/>
          <c:x val="0.21007020594818285"/>
          <c:y val="1.2096393709948566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297-45CC-90AF-960DE33D85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297-45CC-90AF-960DE33D85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297-45CC-90AF-960DE33D85B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C297-45CC-90AF-960DE33D85B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C297-45CC-90AF-960DE33D85B4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127,4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C297-45CC-90AF-960DE33D85B4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93,7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C297-45CC-90AF-960DE33D85B4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9,2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C297-45CC-90AF-960DE33D85B4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- 4,1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C297-45CC-90AF-960DE33D85B4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C297-45CC-90AF-960DE33D85B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97-45CC-90AF-960DE33D85B4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C297-45CC-90AF-960DE33D85B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C297-45CC-90AF-960DE33D85B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C297-45CC-90AF-960DE33D85B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C297-45CC-90AF-960DE33D85B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C297-45CC-90AF-960DE33D85B4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C297-45CC-90AF-960DE33D85B4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C297-45CC-90AF-960DE33D85B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C297-45CC-90AF-960DE33D85B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C297-45CC-90AF-960DE33D85B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C297-45CC-90AF-960DE33D85B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C297-45CC-90AF-960DE33D85B4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C297-45CC-90AF-960DE33D8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481</Words>
  <Characters>3036</Characters>
  <Application>Microsoft Office Word</Application>
  <DocSecurity>0</DocSecurity>
  <Lines>89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Gerasimenko</dc:creator>
  <cp:keywords/>
  <dc:description/>
  <cp:lastModifiedBy>Tatiana Gerasimenko</cp:lastModifiedBy>
  <cp:revision>4</cp:revision>
  <cp:lastPrinted>2026-02-06T08:27:00Z</cp:lastPrinted>
  <dcterms:created xsi:type="dcterms:W3CDTF">2026-02-05T13:51:00Z</dcterms:created>
  <dcterms:modified xsi:type="dcterms:W3CDTF">2026-02-06T08:30:00Z</dcterms:modified>
</cp:coreProperties>
</file>