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A2D2" w14:textId="77777777" w:rsidR="001444E1" w:rsidRDefault="00000000">
      <w:pPr>
        <w:pBdr>
          <w:top w:val="nil"/>
          <w:left w:val="nil"/>
          <w:bottom w:val="nil"/>
          <w:right w:val="nil"/>
          <w:between w:val="nil"/>
        </w:pBdr>
        <w:jc w:val="center"/>
        <w:rPr>
          <w:b/>
          <w:color w:val="000000"/>
          <w:sz w:val="25"/>
          <w:szCs w:val="25"/>
        </w:rPr>
      </w:pPr>
      <w:r>
        <w:rPr>
          <w:b/>
          <w:color w:val="000000"/>
          <w:sz w:val="25"/>
          <w:szCs w:val="25"/>
        </w:rPr>
        <w:t>ДОВІДКА</w:t>
      </w:r>
    </w:p>
    <w:p w14:paraId="3A8D2DA1" w14:textId="77777777" w:rsidR="001444E1" w:rsidRDefault="00000000">
      <w:pPr>
        <w:jc w:val="center"/>
        <w:rPr>
          <w:b/>
          <w:color w:val="000000"/>
          <w:sz w:val="25"/>
          <w:szCs w:val="25"/>
        </w:rPr>
      </w:pPr>
      <w:r>
        <w:rPr>
          <w:b/>
          <w:color w:val="000000"/>
          <w:sz w:val="25"/>
          <w:szCs w:val="25"/>
        </w:rPr>
        <w:t>щодо відповідності зобов’язанням України у сфері європейської інтеграції та праву Європейського Союзу (</w:t>
      </w:r>
      <w:proofErr w:type="spellStart"/>
      <w:r>
        <w:rPr>
          <w:b/>
          <w:color w:val="000000"/>
          <w:sz w:val="25"/>
          <w:szCs w:val="25"/>
        </w:rPr>
        <w:t>acquis</w:t>
      </w:r>
      <w:proofErr w:type="spellEnd"/>
      <w:r>
        <w:rPr>
          <w:b/>
          <w:color w:val="000000"/>
          <w:sz w:val="25"/>
          <w:szCs w:val="25"/>
        </w:rPr>
        <w:t xml:space="preserve"> ЄС) проекту постанови Кабінету Міністрів України “Про реалізацію експериментального проекту щодо цифровізації послуг Державної служби з питань безпечності харчових продуктів та захисту споживачів” </w:t>
      </w:r>
    </w:p>
    <w:p w14:paraId="551C3D13" w14:textId="77777777" w:rsidR="001444E1" w:rsidRDefault="00000000">
      <w:pPr>
        <w:jc w:val="center"/>
        <w:rPr>
          <w:b/>
          <w:color w:val="000000"/>
          <w:sz w:val="25"/>
          <w:szCs w:val="25"/>
        </w:rPr>
      </w:pPr>
      <w:r>
        <w:rPr>
          <w:b/>
          <w:color w:val="000000"/>
          <w:sz w:val="25"/>
          <w:szCs w:val="25"/>
        </w:rPr>
        <w:t>(далі – проект акта)</w:t>
      </w:r>
    </w:p>
    <w:p w14:paraId="375FD599" w14:textId="77777777" w:rsidR="001444E1" w:rsidRDefault="00000000">
      <w:pPr>
        <w:pBdr>
          <w:top w:val="nil"/>
          <w:left w:val="nil"/>
          <w:bottom w:val="nil"/>
          <w:right w:val="nil"/>
          <w:between w:val="nil"/>
        </w:pBdr>
        <w:spacing w:before="120" w:after="120"/>
        <w:ind w:firstLine="567"/>
        <w:jc w:val="both"/>
        <w:rPr>
          <w:color w:val="000000"/>
          <w:sz w:val="25"/>
          <w:szCs w:val="25"/>
        </w:rPr>
      </w:pPr>
      <w:r>
        <w:rPr>
          <w:color w:val="000000"/>
          <w:sz w:val="25"/>
          <w:szCs w:val="25"/>
        </w:rPr>
        <w:t>Проект акта розроблено Державною службою з питань безпечності харчових продуктів та захисту споживачів</w:t>
      </w:r>
      <w:r>
        <w:rPr>
          <w:sz w:val="25"/>
          <w:szCs w:val="25"/>
        </w:rPr>
        <w:t xml:space="preserve"> </w:t>
      </w:r>
      <w:r>
        <w:rPr>
          <w:color w:val="000000"/>
          <w:sz w:val="25"/>
          <w:szCs w:val="25"/>
        </w:rPr>
        <w:t>спільно з Міністерством аграрної політики та продовольства України.</w:t>
      </w:r>
      <w:bookmarkStart w:id="0" w:name="bookmark=id.n8lvq2y3e1ta" w:colFirst="0" w:colLast="0"/>
      <w:bookmarkStart w:id="1" w:name="bookmark=id.qvfh72wcmwtw" w:colFirst="0" w:colLast="0"/>
      <w:bookmarkEnd w:id="0"/>
      <w:bookmarkEnd w:id="1"/>
    </w:p>
    <w:p w14:paraId="7292244C" w14:textId="77777777" w:rsidR="001444E1" w:rsidRDefault="00000000">
      <w:pPr>
        <w:pBdr>
          <w:top w:val="nil"/>
          <w:left w:val="nil"/>
          <w:bottom w:val="nil"/>
          <w:right w:val="nil"/>
          <w:between w:val="nil"/>
        </w:pBdr>
        <w:ind w:firstLine="567"/>
        <w:jc w:val="both"/>
        <w:rPr>
          <w:b/>
          <w:color w:val="000000"/>
          <w:sz w:val="25"/>
          <w:szCs w:val="25"/>
        </w:rPr>
      </w:pPr>
      <w:r>
        <w:rPr>
          <w:b/>
          <w:color w:val="000000"/>
          <w:sz w:val="25"/>
          <w:szCs w:val="25"/>
        </w:rPr>
        <w:t>1. Належність проекту акта до сфер, правовідносини в яких регулюються правом Європейського Союзу (</w:t>
      </w:r>
      <w:proofErr w:type="spellStart"/>
      <w:r>
        <w:rPr>
          <w:b/>
          <w:color w:val="000000"/>
          <w:sz w:val="25"/>
          <w:szCs w:val="25"/>
        </w:rPr>
        <w:t>acquis</w:t>
      </w:r>
      <w:proofErr w:type="spellEnd"/>
      <w:r>
        <w:rPr>
          <w:b/>
          <w:color w:val="000000"/>
          <w:sz w:val="25"/>
          <w:szCs w:val="25"/>
        </w:rPr>
        <w:t xml:space="preserve"> ЄС)</w:t>
      </w:r>
    </w:p>
    <w:p w14:paraId="6B877004" w14:textId="77777777" w:rsidR="001444E1" w:rsidRDefault="00000000">
      <w:pPr>
        <w:shd w:val="clear" w:color="auto" w:fill="FFFFFF"/>
        <w:ind w:firstLine="567"/>
        <w:jc w:val="both"/>
        <w:rPr>
          <w:color w:val="000000"/>
          <w:sz w:val="25"/>
          <w:szCs w:val="25"/>
        </w:rPr>
      </w:pPr>
      <w:r>
        <w:rPr>
          <w:color w:val="000000"/>
          <w:sz w:val="25"/>
          <w:szCs w:val="25"/>
        </w:rPr>
        <w:t>Сфера правовідносин, якої стосуються положення проекту акта, охоплюється положеннями:</w:t>
      </w:r>
    </w:p>
    <w:p w14:paraId="45E145C2" w14:textId="77777777" w:rsidR="001444E1" w:rsidRDefault="00000000">
      <w:pPr>
        <w:ind w:firstLine="567"/>
        <w:jc w:val="both"/>
        <w:rPr>
          <w:sz w:val="25"/>
          <w:szCs w:val="25"/>
        </w:rPr>
      </w:pPr>
      <w:r>
        <w:rPr>
          <w:sz w:val="25"/>
          <w:szCs w:val="25"/>
        </w:rPr>
        <w:t xml:space="preserve">1) Регламенту (ЄС) № 178/2002 Європейського Парламенту та Ради від 28 січня 2002 року, що встановлює загальні принципи та вимоги законодавства про харчові продукти, створює Європейський орган з безпеки харчових продуктів та встановлює процедури з питань безпеки харчових продуктів (далі – Регламент 178/2002); </w:t>
      </w:r>
    </w:p>
    <w:p w14:paraId="6E3E0A80" w14:textId="77777777" w:rsidR="001444E1" w:rsidRDefault="00000000">
      <w:pPr>
        <w:ind w:firstLine="567"/>
        <w:jc w:val="both"/>
        <w:rPr>
          <w:sz w:val="25"/>
          <w:szCs w:val="25"/>
        </w:rPr>
      </w:pPr>
      <w:r>
        <w:rPr>
          <w:sz w:val="25"/>
          <w:szCs w:val="25"/>
        </w:rPr>
        <w:t>2) Регламенту (ЄС) 2017/625 Європейського Парламенту та Ради від 15 березня 2017 року про офіційний контроль та іншу офіційну діяльність, що здійснюється для забезпечення застосування законодавства про харчові продукти та корми, правил щодо здоров'я та добробуту тварин, здоров</w:t>
      </w:r>
      <w:r>
        <w:rPr>
          <w:color w:val="000000"/>
          <w:sz w:val="25"/>
          <w:szCs w:val="25"/>
        </w:rPr>
        <w:t>’</w:t>
      </w:r>
      <w:r>
        <w:rPr>
          <w:sz w:val="25"/>
          <w:szCs w:val="25"/>
        </w:rPr>
        <w:t>я рослин та засобів захисту рослин, що вносить зміни до Регламентів (ЄС) № 999/2001, (ЄС) № 396/2005, (ЄС) № 1069/2009, (ЄС) № 1107/2009, (ЄС) № 1151/2012, (ЄС) № 652/2014, (ЄС) 2016/429 та (ЄС) 2016/2031 Європейського Парламенту та Ради, Регламентів Ради (ЄС) № 1/2005 та (ЄС) № 1099/2009 та Директив Ради 98/58/ЄС, 1999/74/ЄС, 2007/43/ЄС, 2008/119/ЄС та 2008/120/ЄС, що скасовують Регламенти (ЄС) № 854/2004 та (ЄС) № 882/2004 Європейського Парламенту та Ради, Директиви Ради 89/608/ЄЕС, 89/662/ЄЕС, 90/425/ЄЕС, 91/496/ЄЕС, 96/23/ЄС, 96/93/ЄС та 97/78/ЄС та Рішення Ради 92/438/ЄЕС (Регламент про офіційний контроль) (далі – Регламент № 2017/625);</w:t>
      </w:r>
    </w:p>
    <w:p w14:paraId="5D25C756" w14:textId="77777777" w:rsidR="001444E1" w:rsidRDefault="00000000">
      <w:pPr>
        <w:ind w:firstLine="567"/>
        <w:jc w:val="both"/>
        <w:rPr>
          <w:sz w:val="25"/>
          <w:szCs w:val="25"/>
        </w:rPr>
      </w:pPr>
      <w:r>
        <w:rPr>
          <w:sz w:val="25"/>
          <w:szCs w:val="25"/>
        </w:rPr>
        <w:t>3) </w:t>
      </w:r>
      <w:proofErr w:type="spellStart"/>
      <w:r>
        <w:rPr>
          <w:sz w:val="25"/>
          <w:szCs w:val="25"/>
        </w:rPr>
        <w:t>Імплементаційного</w:t>
      </w:r>
      <w:proofErr w:type="spellEnd"/>
      <w:r>
        <w:rPr>
          <w:sz w:val="25"/>
          <w:szCs w:val="25"/>
        </w:rPr>
        <w:t xml:space="preserve"> регламенту Комісії (ЄС) 2019/1715 від 30 вересня 2019 року, що встановлює правила функціонування системи управління інформацією для офіційного контролю та її системних компонентів (Регламент IMSOC) (далі – </w:t>
      </w:r>
      <w:proofErr w:type="spellStart"/>
      <w:r>
        <w:rPr>
          <w:sz w:val="25"/>
          <w:szCs w:val="25"/>
        </w:rPr>
        <w:t>Імплементаційний</w:t>
      </w:r>
      <w:proofErr w:type="spellEnd"/>
      <w:r>
        <w:rPr>
          <w:sz w:val="25"/>
          <w:szCs w:val="25"/>
        </w:rPr>
        <w:t xml:space="preserve"> регламент № 2019/1715).</w:t>
      </w:r>
    </w:p>
    <w:p w14:paraId="0D5D0B62" w14:textId="77777777" w:rsidR="001444E1" w:rsidRDefault="001444E1">
      <w:pPr>
        <w:pBdr>
          <w:top w:val="nil"/>
          <w:left w:val="nil"/>
          <w:bottom w:val="nil"/>
          <w:right w:val="nil"/>
          <w:between w:val="nil"/>
        </w:pBdr>
        <w:ind w:firstLine="567"/>
        <w:jc w:val="both"/>
        <w:rPr>
          <w:color w:val="000000"/>
          <w:sz w:val="10"/>
          <w:szCs w:val="10"/>
        </w:rPr>
      </w:pPr>
    </w:p>
    <w:p w14:paraId="458A599C" w14:textId="77777777" w:rsidR="001444E1" w:rsidRDefault="00000000">
      <w:pPr>
        <w:pBdr>
          <w:top w:val="nil"/>
          <w:left w:val="nil"/>
          <w:bottom w:val="nil"/>
          <w:right w:val="nil"/>
          <w:between w:val="nil"/>
        </w:pBdr>
        <w:ind w:firstLine="567"/>
        <w:jc w:val="both"/>
        <w:rPr>
          <w:b/>
          <w:color w:val="000000"/>
          <w:sz w:val="25"/>
          <w:szCs w:val="25"/>
        </w:rPr>
      </w:pPr>
      <w:r>
        <w:rPr>
          <w:b/>
          <w:color w:val="000000"/>
          <w:sz w:val="25"/>
          <w:szCs w:val="25"/>
        </w:rPr>
        <w:t>2. Зобов’язання України у сфері європейської інтеграції (у тому числі міжнародно-правові)</w:t>
      </w:r>
    </w:p>
    <w:p w14:paraId="679C998D" w14:textId="77777777" w:rsidR="001444E1" w:rsidRDefault="00000000">
      <w:pPr>
        <w:pBdr>
          <w:top w:val="nil"/>
          <w:left w:val="nil"/>
          <w:bottom w:val="nil"/>
          <w:right w:val="nil"/>
          <w:between w:val="nil"/>
        </w:pBdr>
        <w:spacing w:before="120" w:after="120"/>
        <w:ind w:firstLine="567"/>
        <w:jc w:val="both"/>
        <w:rPr>
          <w:color w:val="000000"/>
          <w:sz w:val="25"/>
          <w:szCs w:val="25"/>
        </w:rPr>
      </w:pPr>
      <w:r>
        <w:rPr>
          <w:color w:val="000000"/>
          <w:sz w:val="25"/>
          <w:szCs w:val="25"/>
        </w:rPr>
        <w:t xml:space="preserve">Проект акта стосується зобов’язань України у сфері європейської інтеграції щодо предмета правового регулювання проекту акта, зокрема, статті 64 Глави 4 </w:t>
      </w:r>
      <w:r>
        <w:rPr>
          <w:sz w:val="25"/>
          <w:szCs w:val="25"/>
        </w:rPr>
        <w:t>“</w:t>
      </w:r>
      <w:r>
        <w:rPr>
          <w:color w:val="000000"/>
          <w:sz w:val="25"/>
          <w:szCs w:val="25"/>
        </w:rPr>
        <w:t>Санітарні та фітосанітарні заходи</w:t>
      </w:r>
      <w:r>
        <w:rPr>
          <w:sz w:val="25"/>
          <w:szCs w:val="25"/>
        </w:rPr>
        <w:t>”</w:t>
      </w:r>
      <w:r>
        <w:rPr>
          <w:color w:val="000000"/>
          <w:sz w:val="25"/>
          <w:szCs w:val="25"/>
        </w:rPr>
        <w:t xml:space="preserve"> Розділу IV </w:t>
      </w:r>
      <w:r>
        <w:rPr>
          <w:sz w:val="25"/>
          <w:szCs w:val="25"/>
        </w:rPr>
        <w:t>“</w:t>
      </w:r>
      <w:r>
        <w:rPr>
          <w:color w:val="000000"/>
          <w:sz w:val="25"/>
          <w:szCs w:val="25"/>
        </w:rPr>
        <w:t>Торгівля і питання, пов’язані з торгівлею</w:t>
      </w:r>
      <w:r>
        <w:rPr>
          <w:sz w:val="25"/>
          <w:szCs w:val="25"/>
        </w:rPr>
        <w:t>”</w:t>
      </w:r>
      <w:r>
        <w:rPr>
          <w:color w:val="000000"/>
          <w:sz w:val="25"/>
          <w:szCs w:val="25"/>
        </w:rPr>
        <w:t xml:space="preserve">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 вересня 2014 року № 1678-VII (далі – Угода про асоціацію), відповідно до якої Україна має наблизити своє законодавство про санітарні та фітосанітарні заходи до законодавства ЄС.</w:t>
      </w:r>
      <w:bookmarkStart w:id="2" w:name="bookmark=id.2et92p0" w:colFirst="0" w:colLast="0"/>
      <w:bookmarkStart w:id="3" w:name="bookmark=id.tyjcwt" w:colFirst="0" w:colLast="0"/>
      <w:bookmarkEnd w:id="2"/>
      <w:bookmarkEnd w:id="3"/>
    </w:p>
    <w:p w14:paraId="7DBB94EE" w14:textId="77777777" w:rsidR="001444E1" w:rsidRDefault="00000000">
      <w:pPr>
        <w:pBdr>
          <w:top w:val="nil"/>
          <w:left w:val="nil"/>
          <w:bottom w:val="nil"/>
          <w:right w:val="nil"/>
          <w:between w:val="nil"/>
        </w:pBdr>
        <w:ind w:firstLine="567"/>
        <w:jc w:val="both"/>
        <w:rPr>
          <w:b/>
          <w:color w:val="000000"/>
          <w:sz w:val="25"/>
          <w:szCs w:val="25"/>
        </w:rPr>
      </w:pPr>
      <w:bookmarkStart w:id="4" w:name="bookmark=id.tbmxlu30kts7" w:colFirst="0" w:colLast="0"/>
      <w:bookmarkStart w:id="5" w:name="bookmark=id.qu5zskfsihm" w:colFirst="0" w:colLast="0"/>
      <w:bookmarkEnd w:id="4"/>
      <w:bookmarkEnd w:id="5"/>
      <w:r>
        <w:rPr>
          <w:b/>
          <w:color w:val="000000"/>
          <w:sz w:val="25"/>
          <w:szCs w:val="25"/>
        </w:rPr>
        <w:t>3. Програмні документи у сфері європейської інтеграції</w:t>
      </w:r>
      <w:bookmarkStart w:id="6" w:name="bookmark=id.5e8xe9vk3yon" w:colFirst="0" w:colLast="0"/>
      <w:bookmarkEnd w:id="6"/>
    </w:p>
    <w:p w14:paraId="204D5F15" w14:textId="77777777" w:rsidR="001444E1" w:rsidRDefault="00000000">
      <w:pPr>
        <w:pBdr>
          <w:top w:val="nil"/>
          <w:left w:val="nil"/>
          <w:bottom w:val="nil"/>
          <w:right w:val="nil"/>
          <w:between w:val="nil"/>
        </w:pBdr>
        <w:spacing w:before="120" w:after="120"/>
        <w:ind w:firstLine="567"/>
        <w:jc w:val="both"/>
        <w:rPr>
          <w:sz w:val="25"/>
          <w:szCs w:val="25"/>
        </w:rPr>
        <w:sectPr w:rsidR="001444E1">
          <w:headerReference w:type="even" r:id="rId8"/>
          <w:headerReference w:type="default" r:id="rId9"/>
          <w:pgSz w:w="11906" w:h="16838"/>
          <w:pgMar w:top="1134" w:right="567" w:bottom="1134" w:left="1701" w:header="709" w:footer="709" w:gutter="0"/>
          <w:pgNumType w:start="1"/>
          <w:cols w:space="720"/>
          <w:titlePg/>
        </w:sectPr>
      </w:pPr>
      <w:r>
        <w:rPr>
          <w:color w:val="000000"/>
          <w:sz w:val="25"/>
          <w:szCs w:val="25"/>
        </w:rPr>
        <w:t>Проект акта розроблено відповідно до пункту 216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року № 1106 .</w:t>
      </w:r>
    </w:p>
    <w:p w14:paraId="53455C67" w14:textId="77777777" w:rsidR="001444E1" w:rsidRDefault="00000000">
      <w:pPr>
        <w:rPr>
          <w:b/>
          <w:sz w:val="28"/>
          <w:szCs w:val="28"/>
        </w:rPr>
      </w:pPr>
      <w:r>
        <w:rPr>
          <w:b/>
          <w:sz w:val="28"/>
          <w:szCs w:val="28"/>
        </w:rPr>
        <w:lastRenderedPageBreak/>
        <w:t>4. Порівняльно-правовий аналіз</w:t>
      </w:r>
    </w:p>
    <w:p w14:paraId="26F6C8F7" w14:textId="77777777" w:rsidR="001444E1" w:rsidRDefault="001444E1">
      <w:pPr>
        <w:rPr>
          <w:b/>
          <w:sz w:val="8"/>
          <w:szCs w:val="8"/>
        </w:rPr>
      </w:pPr>
    </w:p>
    <w:tbl>
      <w:tblPr>
        <w:tblStyle w:val="afb"/>
        <w:tblW w:w="157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4775"/>
        <w:gridCol w:w="3932"/>
        <w:gridCol w:w="1827"/>
        <w:gridCol w:w="2669"/>
        <w:gridCol w:w="1687"/>
      </w:tblGrid>
      <w:tr w:rsidR="001444E1" w14:paraId="4F65444E" w14:textId="77777777">
        <w:tc>
          <w:tcPr>
            <w:tcW w:w="845" w:type="dxa"/>
            <w:shd w:val="clear" w:color="auto" w:fill="auto"/>
          </w:tcPr>
          <w:p w14:paraId="648874A2" w14:textId="77777777" w:rsidR="001444E1" w:rsidRDefault="00000000">
            <w:pPr>
              <w:jc w:val="center"/>
              <w:rPr>
                <w:b/>
                <w:color w:val="000000"/>
                <w:sz w:val="22"/>
                <w:szCs w:val="22"/>
              </w:rPr>
            </w:pPr>
            <w:r>
              <w:rPr>
                <w:b/>
                <w:color w:val="000000"/>
                <w:sz w:val="22"/>
                <w:szCs w:val="22"/>
              </w:rPr>
              <w:t>№ з/п</w:t>
            </w:r>
          </w:p>
          <w:p w14:paraId="61EF60F0" w14:textId="77777777" w:rsidR="001444E1" w:rsidRDefault="001444E1">
            <w:pPr>
              <w:ind w:left="360"/>
              <w:rPr>
                <w:color w:val="000000"/>
                <w:sz w:val="22"/>
                <w:szCs w:val="22"/>
              </w:rPr>
            </w:pPr>
          </w:p>
        </w:tc>
        <w:tc>
          <w:tcPr>
            <w:tcW w:w="4775" w:type="dxa"/>
            <w:shd w:val="clear" w:color="auto" w:fill="auto"/>
          </w:tcPr>
          <w:p w14:paraId="3766BB38" w14:textId="77777777" w:rsidR="001444E1" w:rsidRDefault="00000000">
            <w:pPr>
              <w:jc w:val="center"/>
              <w:rPr>
                <w:b/>
                <w:color w:val="000000"/>
                <w:sz w:val="22"/>
                <w:szCs w:val="22"/>
              </w:rPr>
            </w:pPr>
            <w:r>
              <w:rPr>
                <w:b/>
                <w:color w:val="000000"/>
                <w:sz w:val="22"/>
                <w:szCs w:val="22"/>
              </w:rPr>
              <w:t>Положення</w:t>
            </w:r>
          </w:p>
          <w:p w14:paraId="7B2919A0" w14:textId="77777777" w:rsidR="001444E1" w:rsidRDefault="00000000">
            <w:pPr>
              <w:jc w:val="center"/>
              <w:rPr>
                <w:b/>
                <w:color w:val="000000"/>
                <w:sz w:val="22"/>
                <w:szCs w:val="22"/>
              </w:rPr>
            </w:pPr>
            <w:r>
              <w:rPr>
                <w:b/>
                <w:color w:val="000000"/>
                <w:sz w:val="22"/>
                <w:szCs w:val="22"/>
              </w:rPr>
              <w:t>проекту акта</w:t>
            </w:r>
          </w:p>
          <w:p w14:paraId="72C8F77F" w14:textId="77777777" w:rsidR="001444E1" w:rsidRDefault="001444E1">
            <w:pPr>
              <w:jc w:val="center"/>
              <w:rPr>
                <w:b/>
                <w:color w:val="000000"/>
                <w:sz w:val="22"/>
                <w:szCs w:val="22"/>
              </w:rPr>
            </w:pPr>
          </w:p>
        </w:tc>
        <w:tc>
          <w:tcPr>
            <w:tcW w:w="3932" w:type="dxa"/>
            <w:shd w:val="clear" w:color="auto" w:fill="auto"/>
          </w:tcPr>
          <w:p w14:paraId="22CBC464" w14:textId="77777777" w:rsidR="001444E1" w:rsidRDefault="00000000">
            <w:pPr>
              <w:jc w:val="center"/>
              <w:rPr>
                <w:b/>
                <w:color w:val="000000"/>
                <w:sz w:val="22"/>
                <w:szCs w:val="22"/>
              </w:rPr>
            </w:pPr>
            <w:r>
              <w:rPr>
                <w:b/>
                <w:color w:val="000000"/>
                <w:sz w:val="22"/>
                <w:szCs w:val="22"/>
              </w:rPr>
              <w:t>Відповідні положення</w:t>
            </w:r>
          </w:p>
          <w:p w14:paraId="7E39F08A" w14:textId="77777777" w:rsidR="001444E1" w:rsidRDefault="00000000">
            <w:pPr>
              <w:jc w:val="center"/>
              <w:rPr>
                <w:b/>
                <w:color w:val="000000"/>
                <w:sz w:val="22"/>
                <w:szCs w:val="22"/>
              </w:rPr>
            </w:pPr>
            <w:r>
              <w:rPr>
                <w:b/>
                <w:color w:val="000000"/>
                <w:sz w:val="22"/>
                <w:szCs w:val="22"/>
              </w:rPr>
              <w:t>джерел права Європейського Союзу (</w:t>
            </w:r>
            <w:proofErr w:type="spellStart"/>
            <w:r>
              <w:rPr>
                <w:b/>
                <w:color w:val="000000"/>
                <w:sz w:val="22"/>
                <w:szCs w:val="22"/>
              </w:rPr>
              <w:t>acquis</w:t>
            </w:r>
            <w:proofErr w:type="spellEnd"/>
            <w:r>
              <w:rPr>
                <w:b/>
                <w:color w:val="000000"/>
                <w:sz w:val="22"/>
                <w:szCs w:val="22"/>
              </w:rPr>
              <w:t xml:space="preserve"> ЄС)</w:t>
            </w:r>
          </w:p>
        </w:tc>
        <w:tc>
          <w:tcPr>
            <w:tcW w:w="1827" w:type="dxa"/>
            <w:shd w:val="clear" w:color="auto" w:fill="auto"/>
          </w:tcPr>
          <w:p w14:paraId="0FCDD187" w14:textId="77777777" w:rsidR="001444E1" w:rsidRDefault="00000000">
            <w:pPr>
              <w:jc w:val="center"/>
              <w:rPr>
                <w:b/>
                <w:color w:val="000000"/>
                <w:sz w:val="22"/>
                <w:szCs w:val="22"/>
              </w:rPr>
            </w:pPr>
            <w:r>
              <w:rPr>
                <w:b/>
                <w:color w:val="000000"/>
                <w:sz w:val="22"/>
                <w:szCs w:val="22"/>
              </w:rPr>
              <w:t>Оцінка відповідності</w:t>
            </w:r>
          </w:p>
          <w:p w14:paraId="65EBD107" w14:textId="77777777" w:rsidR="001444E1" w:rsidRDefault="00000000">
            <w:pPr>
              <w:jc w:val="center"/>
              <w:rPr>
                <w:b/>
                <w:color w:val="000000"/>
                <w:sz w:val="22"/>
                <w:szCs w:val="22"/>
              </w:rPr>
            </w:pPr>
            <w:r>
              <w:rPr>
                <w:b/>
                <w:color w:val="000000"/>
                <w:sz w:val="22"/>
                <w:szCs w:val="22"/>
              </w:rPr>
              <w:t>праву Європейського Союзу (</w:t>
            </w:r>
            <w:proofErr w:type="spellStart"/>
            <w:r>
              <w:rPr>
                <w:b/>
                <w:color w:val="000000"/>
                <w:sz w:val="22"/>
                <w:szCs w:val="22"/>
              </w:rPr>
              <w:t>acquis</w:t>
            </w:r>
            <w:proofErr w:type="spellEnd"/>
            <w:r>
              <w:rPr>
                <w:b/>
                <w:color w:val="000000"/>
                <w:sz w:val="22"/>
                <w:szCs w:val="22"/>
              </w:rPr>
              <w:t xml:space="preserve"> ЄС) (відповідає, не суперечить, частково враховує, не відповідає, не врегульовано)</w:t>
            </w:r>
          </w:p>
        </w:tc>
        <w:tc>
          <w:tcPr>
            <w:tcW w:w="2669" w:type="dxa"/>
            <w:shd w:val="clear" w:color="auto" w:fill="auto"/>
          </w:tcPr>
          <w:p w14:paraId="22BEE119" w14:textId="77777777" w:rsidR="001444E1" w:rsidRDefault="00000000">
            <w:pPr>
              <w:jc w:val="center"/>
              <w:rPr>
                <w:b/>
                <w:color w:val="000000"/>
                <w:sz w:val="22"/>
                <w:szCs w:val="22"/>
              </w:rPr>
            </w:pPr>
            <w:r>
              <w:rPr>
                <w:b/>
                <w:color w:val="000000"/>
                <w:sz w:val="22"/>
                <w:szCs w:val="22"/>
              </w:rPr>
              <w:t>Відповідні положення джерел міжнародно-правових зобов’язань України у сфері європейської інтеграції</w:t>
            </w:r>
          </w:p>
        </w:tc>
        <w:tc>
          <w:tcPr>
            <w:tcW w:w="1687" w:type="dxa"/>
            <w:shd w:val="clear" w:color="auto" w:fill="auto"/>
          </w:tcPr>
          <w:p w14:paraId="0FCE309C" w14:textId="77777777" w:rsidR="001444E1" w:rsidRDefault="00000000">
            <w:pPr>
              <w:jc w:val="center"/>
              <w:rPr>
                <w:b/>
                <w:color w:val="000000"/>
                <w:sz w:val="22"/>
                <w:szCs w:val="22"/>
              </w:rPr>
            </w:pPr>
            <w:r>
              <w:rPr>
                <w:b/>
                <w:color w:val="000000"/>
                <w:sz w:val="22"/>
                <w:szCs w:val="22"/>
              </w:rPr>
              <w:t>Оцінка відповідності міжнародно-правовим зобов’язанням (відповідає, не суперечить,</w:t>
            </w:r>
          </w:p>
          <w:p w14:paraId="742B90CF" w14:textId="77777777" w:rsidR="001444E1" w:rsidRDefault="00000000">
            <w:pPr>
              <w:jc w:val="center"/>
              <w:rPr>
                <w:b/>
                <w:color w:val="000000"/>
                <w:sz w:val="22"/>
                <w:szCs w:val="22"/>
              </w:rPr>
            </w:pPr>
            <w:r>
              <w:rPr>
                <w:b/>
                <w:color w:val="000000"/>
                <w:sz w:val="22"/>
                <w:szCs w:val="22"/>
              </w:rPr>
              <w:t>частково враховує,</w:t>
            </w:r>
          </w:p>
          <w:p w14:paraId="465F419F" w14:textId="77777777" w:rsidR="001444E1" w:rsidRDefault="00000000">
            <w:pPr>
              <w:jc w:val="center"/>
              <w:rPr>
                <w:b/>
                <w:color w:val="000000"/>
                <w:sz w:val="22"/>
                <w:szCs w:val="22"/>
              </w:rPr>
            </w:pPr>
            <w:r>
              <w:rPr>
                <w:b/>
                <w:color w:val="000000"/>
                <w:sz w:val="22"/>
                <w:szCs w:val="22"/>
              </w:rPr>
              <w:t>не відповідає, не врегульовано)</w:t>
            </w:r>
          </w:p>
        </w:tc>
      </w:tr>
      <w:tr w:rsidR="001444E1" w14:paraId="64C16B94" w14:textId="77777777">
        <w:tc>
          <w:tcPr>
            <w:tcW w:w="845" w:type="dxa"/>
          </w:tcPr>
          <w:p w14:paraId="7AFA527A" w14:textId="77777777" w:rsidR="001444E1" w:rsidRDefault="001444E1">
            <w:pPr>
              <w:numPr>
                <w:ilvl w:val="0"/>
                <w:numId w:val="1"/>
              </w:numPr>
              <w:pBdr>
                <w:top w:val="nil"/>
                <w:left w:val="nil"/>
                <w:bottom w:val="nil"/>
                <w:right w:val="nil"/>
                <w:between w:val="nil"/>
              </w:pBdr>
              <w:shd w:val="clear" w:color="auto" w:fill="FFFFFF"/>
              <w:jc w:val="center"/>
              <w:rPr>
                <w:color w:val="000000"/>
                <w:sz w:val="22"/>
                <w:szCs w:val="22"/>
              </w:rPr>
            </w:pPr>
          </w:p>
        </w:tc>
        <w:tc>
          <w:tcPr>
            <w:tcW w:w="4775" w:type="dxa"/>
          </w:tcPr>
          <w:p w14:paraId="703B12F8" w14:textId="77777777" w:rsidR="001444E1" w:rsidRDefault="00000000">
            <w:pPr>
              <w:shd w:val="clear" w:color="auto" w:fill="FFFFFF"/>
              <w:jc w:val="center"/>
              <w:rPr>
                <w:color w:val="000000"/>
                <w:sz w:val="22"/>
                <w:szCs w:val="22"/>
              </w:rPr>
            </w:pPr>
            <w:r>
              <w:rPr>
                <w:color w:val="000000"/>
                <w:sz w:val="22"/>
                <w:szCs w:val="22"/>
              </w:rPr>
              <w:t>ПОРЯДОК</w:t>
            </w:r>
          </w:p>
          <w:p w14:paraId="2553AFA7" w14:textId="77777777" w:rsidR="001444E1" w:rsidRDefault="00000000">
            <w:pPr>
              <w:shd w:val="clear" w:color="auto" w:fill="FFFFFF"/>
              <w:jc w:val="center"/>
              <w:rPr>
                <w:color w:val="000000"/>
                <w:sz w:val="22"/>
                <w:szCs w:val="22"/>
              </w:rPr>
            </w:pPr>
            <w:r>
              <w:rPr>
                <w:color w:val="000000"/>
                <w:sz w:val="22"/>
                <w:szCs w:val="22"/>
              </w:rPr>
              <w:t>реалізації експериментального проекту</w:t>
            </w:r>
            <w:r>
              <w:rPr>
                <w:sz w:val="22"/>
                <w:szCs w:val="22"/>
              </w:rPr>
              <w:t xml:space="preserve">  щодо цифровізації послуг Державної служби з питань безпечності харчових продуктів та захисту споживачів</w:t>
            </w:r>
          </w:p>
          <w:p w14:paraId="16866161" w14:textId="77777777" w:rsidR="001444E1" w:rsidRDefault="00000000">
            <w:pPr>
              <w:shd w:val="clear" w:color="auto" w:fill="FFFFFF"/>
              <w:jc w:val="center"/>
              <w:rPr>
                <w:color w:val="000000"/>
                <w:sz w:val="22"/>
                <w:szCs w:val="22"/>
              </w:rPr>
            </w:pPr>
            <w:r>
              <w:rPr>
                <w:color w:val="000000"/>
                <w:sz w:val="22"/>
                <w:szCs w:val="22"/>
              </w:rPr>
              <w:t>….</w:t>
            </w:r>
          </w:p>
          <w:p w14:paraId="3C527332" w14:textId="77777777" w:rsidR="001444E1" w:rsidRDefault="001444E1">
            <w:pPr>
              <w:shd w:val="clear" w:color="auto" w:fill="FFFFFF"/>
              <w:jc w:val="center"/>
              <w:rPr>
                <w:b/>
                <w:color w:val="000000"/>
                <w:sz w:val="22"/>
                <w:szCs w:val="22"/>
              </w:rPr>
            </w:pPr>
          </w:p>
        </w:tc>
        <w:tc>
          <w:tcPr>
            <w:tcW w:w="3932" w:type="dxa"/>
          </w:tcPr>
          <w:p w14:paraId="421A1E67" w14:textId="77777777" w:rsidR="001444E1" w:rsidRDefault="00000000">
            <w:pPr>
              <w:shd w:val="clear" w:color="auto" w:fill="FFFFFF"/>
              <w:jc w:val="center"/>
              <w:rPr>
                <w:color w:val="000000"/>
                <w:sz w:val="22"/>
                <w:szCs w:val="22"/>
              </w:rPr>
            </w:pPr>
            <w:r>
              <w:rPr>
                <w:color w:val="000000"/>
                <w:sz w:val="22"/>
                <w:szCs w:val="22"/>
              </w:rPr>
              <w:t>Регламент 178/2002</w:t>
            </w:r>
          </w:p>
          <w:p w14:paraId="7F0D3C11" w14:textId="77777777" w:rsidR="001444E1" w:rsidRDefault="00000000">
            <w:pPr>
              <w:shd w:val="clear" w:color="auto" w:fill="FFFFFF"/>
              <w:jc w:val="both"/>
              <w:rPr>
                <w:color w:val="000000"/>
                <w:sz w:val="22"/>
                <w:szCs w:val="22"/>
              </w:rPr>
            </w:pPr>
            <w:r>
              <w:rPr>
                <w:color w:val="000000"/>
                <w:sz w:val="22"/>
                <w:szCs w:val="22"/>
              </w:rPr>
              <w:t>РОЗДІЛ 2</w:t>
            </w:r>
          </w:p>
          <w:p w14:paraId="39C65289" w14:textId="77777777" w:rsidR="001444E1" w:rsidRDefault="00000000">
            <w:pPr>
              <w:shd w:val="clear" w:color="auto" w:fill="FFFFFF"/>
              <w:jc w:val="both"/>
              <w:rPr>
                <w:color w:val="000000"/>
                <w:sz w:val="22"/>
                <w:szCs w:val="22"/>
              </w:rPr>
            </w:pPr>
            <w:r>
              <w:rPr>
                <w:color w:val="000000"/>
                <w:sz w:val="22"/>
                <w:szCs w:val="22"/>
              </w:rPr>
              <w:t>ПРИНЦИПИ ПРОЗОРОСТІ</w:t>
            </w:r>
          </w:p>
          <w:p w14:paraId="08591D14" w14:textId="77777777" w:rsidR="001444E1" w:rsidRDefault="00000000">
            <w:pPr>
              <w:shd w:val="clear" w:color="auto" w:fill="FFFFFF"/>
              <w:jc w:val="both"/>
              <w:rPr>
                <w:color w:val="000000"/>
                <w:sz w:val="22"/>
                <w:szCs w:val="22"/>
              </w:rPr>
            </w:pPr>
            <w:r>
              <w:rPr>
                <w:color w:val="000000"/>
                <w:sz w:val="22"/>
                <w:szCs w:val="22"/>
              </w:rPr>
              <w:t>…</w:t>
            </w:r>
          </w:p>
          <w:p w14:paraId="5DBD2A6E" w14:textId="77777777" w:rsidR="001444E1" w:rsidRDefault="00000000">
            <w:pPr>
              <w:shd w:val="clear" w:color="auto" w:fill="FFFFFF"/>
              <w:jc w:val="both"/>
              <w:rPr>
                <w:color w:val="000000"/>
                <w:sz w:val="22"/>
                <w:szCs w:val="22"/>
              </w:rPr>
            </w:pPr>
            <w:r>
              <w:rPr>
                <w:color w:val="000000"/>
                <w:sz w:val="22"/>
                <w:szCs w:val="22"/>
              </w:rPr>
              <w:t>Стаття 10</w:t>
            </w:r>
          </w:p>
          <w:p w14:paraId="3D11B792" w14:textId="77777777" w:rsidR="001444E1" w:rsidRDefault="001444E1">
            <w:pPr>
              <w:shd w:val="clear" w:color="auto" w:fill="FFFFFF"/>
              <w:jc w:val="both"/>
              <w:rPr>
                <w:color w:val="000000"/>
                <w:sz w:val="22"/>
                <w:szCs w:val="22"/>
              </w:rPr>
            </w:pPr>
          </w:p>
          <w:p w14:paraId="6BBC2E4F" w14:textId="77777777" w:rsidR="001444E1" w:rsidRDefault="00000000">
            <w:pPr>
              <w:shd w:val="clear" w:color="auto" w:fill="FFFFFF"/>
              <w:jc w:val="both"/>
              <w:rPr>
                <w:color w:val="000000"/>
                <w:sz w:val="22"/>
                <w:szCs w:val="22"/>
              </w:rPr>
            </w:pPr>
            <w:r>
              <w:rPr>
                <w:color w:val="000000"/>
                <w:sz w:val="22"/>
                <w:szCs w:val="22"/>
              </w:rPr>
              <w:t>Публічна інформація</w:t>
            </w:r>
          </w:p>
          <w:p w14:paraId="2D497779" w14:textId="77777777" w:rsidR="001444E1" w:rsidRDefault="001444E1">
            <w:pPr>
              <w:shd w:val="clear" w:color="auto" w:fill="FFFFFF"/>
              <w:jc w:val="both"/>
              <w:rPr>
                <w:color w:val="000000"/>
                <w:sz w:val="22"/>
                <w:szCs w:val="22"/>
              </w:rPr>
            </w:pPr>
          </w:p>
          <w:p w14:paraId="767930A6" w14:textId="77777777" w:rsidR="001444E1" w:rsidRDefault="00000000">
            <w:pPr>
              <w:shd w:val="clear" w:color="auto" w:fill="FFFFFF"/>
              <w:jc w:val="both"/>
              <w:rPr>
                <w:color w:val="000000"/>
                <w:sz w:val="22"/>
                <w:szCs w:val="22"/>
              </w:rPr>
            </w:pPr>
            <w:r>
              <w:rPr>
                <w:color w:val="000000"/>
                <w:sz w:val="22"/>
                <w:szCs w:val="22"/>
              </w:rPr>
              <w:t xml:space="preserve">Без шкоди для чинних положень законодавства Співтовариства та національного законодавства щодо доступу до документів, якщо є достатні підстави підозрювати, що харчовий продукт або корм може становити ризик для здоров'я людини або тварин, то, залежно від характеру, серйозності та ступеня цього ризику, органи державної влади вживають відповідних заходів для інформування широкої громадськості про характер ризику для здоров'я, максимально повно визначаючи харчовий продукт або </w:t>
            </w:r>
            <w:r>
              <w:rPr>
                <w:color w:val="000000"/>
                <w:sz w:val="22"/>
                <w:szCs w:val="22"/>
              </w:rPr>
              <w:lastRenderedPageBreak/>
              <w:t>корм, або тип харчового продукту або корму, ризик, який він може становити, та заходи, які вживаються або будуть вжиті для запобігання, зменшення або усунення цього ризику.</w:t>
            </w:r>
          </w:p>
          <w:p w14:paraId="224C4C63" w14:textId="77777777" w:rsidR="001444E1" w:rsidRDefault="00000000">
            <w:pPr>
              <w:shd w:val="clear" w:color="auto" w:fill="FFFFFF"/>
              <w:jc w:val="both"/>
              <w:rPr>
                <w:color w:val="000000"/>
                <w:sz w:val="22"/>
                <w:szCs w:val="22"/>
              </w:rPr>
            </w:pPr>
            <w:r>
              <w:rPr>
                <w:color w:val="000000"/>
                <w:sz w:val="22"/>
                <w:szCs w:val="22"/>
              </w:rPr>
              <w:t>…</w:t>
            </w:r>
          </w:p>
          <w:p w14:paraId="641B4402" w14:textId="77777777" w:rsidR="001444E1" w:rsidRDefault="00000000">
            <w:pPr>
              <w:shd w:val="clear" w:color="auto" w:fill="FFFFFF"/>
              <w:jc w:val="both"/>
              <w:rPr>
                <w:color w:val="000000"/>
                <w:sz w:val="22"/>
                <w:szCs w:val="22"/>
              </w:rPr>
            </w:pPr>
            <w:r>
              <w:rPr>
                <w:color w:val="000000"/>
                <w:sz w:val="22"/>
                <w:szCs w:val="22"/>
              </w:rPr>
              <w:t>Стаття 17</w:t>
            </w:r>
          </w:p>
          <w:p w14:paraId="050CFCF6" w14:textId="77777777" w:rsidR="001444E1" w:rsidRDefault="00000000">
            <w:pPr>
              <w:shd w:val="clear" w:color="auto" w:fill="FFFFFF"/>
              <w:jc w:val="both"/>
              <w:rPr>
                <w:color w:val="000000"/>
                <w:sz w:val="22"/>
                <w:szCs w:val="22"/>
              </w:rPr>
            </w:pPr>
            <w:r>
              <w:rPr>
                <w:color w:val="000000"/>
                <w:sz w:val="22"/>
                <w:szCs w:val="22"/>
              </w:rPr>
              <w:t>Обов'язки</w:t>
            </w:r>
          </w:p>
          <w:p w14:paraId="5E5122FC" w14:textId="77777777" w:rsidR="001444E1" w:rsidRDefault="00000000">
            <w:pPr>
              <w:shd w:val="clear" w:color="auto" w:fill="FFFFFF"/>
              <w:jc w:val="both"/>
              <w:rPr>
                <w:color w:val="000000"/>
                <w:sz w:val="22"/>
                <w:szCs w:val="22"/>
              </w:rPr>
            </w:pPr>
            <w:r>
              <w:rPr>
                <w:color w:val="000000"/>
                <w:sz w:val="22"/>
                <w:szCs w:val="22"/>
              </w:rPr>
              <w:t>…</w:t>
            </w:r>
          </w:p>
          <w:p w14:paraId="69B81189" w14:textId="77777777" w:rsidR="001444E1" w:rsidRDefault="00000000">
            <w:pPr>
              <w:shd w:val="clear" w:color="auto" w:fill="FFFFFF"/>
              <w:jc w:val="both"/>
              <w:rPr>
                <w:color w:val="000000"/>
                <w:sz w:val="22"/>
                <w:szCs w:val="22"/>
              </w:rPr>
            </w:pPr>
            <w:r>
              <w:rPr>
                <w:color w:val="000000"/>
                <w:sz w:val="22"/>
                <w:szCs w:val="22"/>
              </w:rPr>
              <w:t>2.   Держави-члени повинні забезпечувати дотримання законодавства про харчові продукти, а також контролювати та перевіряти, чи оператори харчового та кормового бізнесу виконують відповідні вимоги законодавства про харчові продукти на всіх етапах виробництва, переробки та розповсюдження.</w:t>
            </w:r>
          </w:p>
          <w:p w14:paraId="55859580" w14:textId="77777777" w:rsidR="001444E1" w:rsidRDefault="00000000">
            <w:pPr>
              <w:shd w:val="clear" w:color="auto" w:fill="FFFFFF"/>
              <w:jc w:val="both"/>
              <w:rPr>
                <w:color w:val="000000"/>
                <w:sz w:val="22"/>
                <w:szCs w:val="22"/>
              </w:rPr>
            </w:pPr>
            <w:r>
              <w:rPr>
                <w:color w:val="000000"/>
                <w:sz w:val="22"/>
                <w:szCs w:val="22"/>
              </w:rPr>
              <w:t>З цією метою вони повинні підтримувати систему офіційного контролю та інших видів діяльності, що відповідають обставинам, включаючи комунікацію з громадськістю щодо безпеки та ризиків харчових продуктів та кормів, нагляд за безпекою харчових продуктів та кормів та інші види моніторингу, що охоплюють усі етапи виробництва, переробки та розповсюдження.</w:t>
            </w:r>
          </w:p>
          <w:p w14:paraId="00C53C73" w14:textId="77777777" w:rsidR="001444E1" w:rsidRDefault="00000000">
            <w:pPr>
              <w:shd w:val="clear" w:color="auto" w:fill="FFFFFF"/>
              <w:jc w:val="both"/>
              <w:rPr>
                <w:color w:val="000000"/>
                <w:sz w:val="22"/>
                <w:szCs w:val="22"/>
              </w:rPr>
            </w:pPr>
            <w:r>
              <w:rPr>
                <w:color w:val="000000"/>
                <w:sz w:val="22"/>
                <w:szCs w:val="22"/>
              </w:rPr>
              <w:t>…</w:t>
            </w:r>
          </w:p>
          <w:p w14:paraId="29ACBF4D" w14:textId="77777777" w:rsidR="001444E1" w:rsidRDefault="00000000">
            <w:pPr>
              <w:shd w:val="clear" w:color="auto" w:fill="FFFFFF"/>
              <w:jc w:val="center"/>
              <w:rPr>
                <w:color w:val="000000"/>
                <w:sz w:val="22"/>
                <w:szCs w:val="22"/>
              </w:rPr>
            </w:pPr>
            <w:r>
              <w:rPr>
                <w:color w:val="000000"/>
                <w:sz w:val="22"/>
                <w:szCs w:val="22"/>
              </w:rPr>
              <w:t>РОЗДІЛ IV</w:t>
            </w:r>
          </w:p>
          <w:p w14:paraId="6333B74D" w14:textId="77777777" w:rsidR="001444E1" w:rsidRDefault="00000000">
            <w:pPr>
              <w:shd w:val="clear" w:color="auto" w:fill="FFFFFF"/>
              <w:jc w:val="center"/>
              <w:rPr>
                <w:color w:val="000000"/>
                <w:sz w:val="22"/>
                <w:szCs w:val="22"/>
              </w:rPr>
            </w:pPr>
            <w:r>
              <w:rPr>
                <w:color w:val="000000"/>
                <w:sz w:val="22"/>
                <w:szCs w:val="22"/>
              </w:rPr>
              <w:t>СИСТЕМА ШВИДКОГО ОПОВНЕННЯ, УПРАВЛІННЯ КРИЗАМИ ТА НАДЗВИЧАЙНИМИ СИТУАЦІЯМИ</w:t>
            </w:r>
          </w:p>
          <w:p w14:paraId="520BF181" w14:textId="77777777" w:rsidR="001444E1" w:rsidRDefault="00000000">
            <w:pPr>
              <w:shd w:val="clear" w:color="auto" w:fill="FFFFFF"/>
              <w:jc w:val="both"/>
              <w:rPr>
                <w:color w:val="000000"/>
                <w:sz w:val="22"/>
                <w:szCs w:val="22"/>
              </w:rPr>
            </w:pPr>
            <w:r>
              <w:rPr>
                <w:color w:val="000000"/>
                <w:sz w:val="22"/>
                <w:szCs w:val="22"/>
              </w:rPr>
              <w:t>РОЗДІЛ 1</w:t>
            </w:r>
          </w:p>
          <w:p w14:paraId="2F3CD302" w14:textId="77777777" w:rsidR="001444E1" w:rsidRDefault="00000000">
            <w:pPr>
              <w:shd w:val="clear" w:color="auto" w:fill="FFFFFF"/>
              <w:jc w:val="center"/>
              <w:rPr>
                <w:color w:val="000000"/>
                <w:sz w:val="22"/>
                <w:szCs w:val="22"/>
              </w:rPr>
            </w:pPr>
            <w:r>
              <w:rPr>
                <w:color w:val="000000"/>
                <w:sz w:val="22"/>
                <w:szCs w:val="22"/>
              </w:rPr>
              <w:lastRenderedPageBreak/>
              <w:t>СИСТЕМА ШВИДКОГО ОПОВНЕННЯ</w:t>
            </w:r>
          </w:p>
          <w:p w14:paraId="4B77B1D7" w14:textId="77777777" w:rsidR="001444E1" w:rsidRDefault="00000000">
            <w:pPr>
              <w:shd w:val="clear" w:color="auto" w:fill="FFFFFF"/>
              <w:jc w:val="both"/>
              <w:rPr>
                <w:color w:val="000000"/>
                <w:sz w:val="22"/>
                <w:szCs w:val="22"/>
              </w:rPr>
            </w:pPr>
            <w:r>
              <w:rPr>
                <w:color w:val="000000"/>
                <w:sz w:val="22"/>
                <w:szCs w:val="22"/>
              </w:rPr>
              <w:t>Стаття 50</w:t>
            </w:r>
          </w:p>
          <w:p w14:paraId="49EE7533" w14:textId="77777777" w:rsidR="001444E1" w:rsidRDefault="00000000">
            <w:pPr>
              <w:shd w:val="clear" w:color="auto" w:fill="FFFFFF"/>
              <w:jc w:val="both"/>
              <w:rPr>
                <w:color w:val="000000"/>
                <w:sz w:val="22"/>
                <w:szCs w:val="22"/>
              </w:rPr>
            </w:pPr>
            <w:r>
              <w:rPr>
                <w:color w:val="000000"/>
                <w:sz w:val="22"/>
                <w:szCs w:val="22"/>
              </w:rPr>
              <w:t>Система швидкого оповіщення</w:t>
            </w:r>
          </w:p>
          <w:p w14:paraId="5C12F52D" w14:textId="77777777" w:rsidR="001444E1" w:rsidRDefault="00000000">
            <w:pPr>
              <w:shd w:val="clear" w:color="auto" w:fill="FFFFFF"/>
              <w:jc w:val="both"/>
              <w:rPr>
                <w:color w:val="000000"/>
                <w:sz w:val="22"/>
                <w:szCs w:val="22"/>
              </w:rPr>
            </w:pPr>
            <w:r>
              <w:rPr>
                <w:color w:val="000000"/>
                <w:sz w:val="22"/>
                <w:szCs w:val="22"/>
              </w:rPr>
              <w:t>1.   Цим створюється система швидкого оповіщення для повідомлення про прямий або непрямий ризик для здоров'я людини, що виникає від харчових продуктів або кормів, у вигляді мережі. Вона включає держави-члени, Комісію та Орган. Держави-члени, Комісія та Орган призначають контактний пункт, який є членом мережі. Комісія відповідає за управління мережею.</w:t>
            </w:r>
          </w:p>
          <w:p w14:paraId="5E549C68" w14:textId="77777777" w:rsidR="001444E1" w:rsidRDefault="00000000">
            <w:pPr>
              <w:shd w:val="clear" w:color="auto" w:fill="FFFFFF"/>
              <w:jc w:val="both"/>
              <w:rPr>
                <w:color w:val="000000"/>
                <w:sz w:val="22"/>
                <w:szCs w:val="22"/>
              </w:rPr>
            </w:pPr>
            <w:r>
              <w:rPr>
                <w:color w:val="000000"/>
                <w:sz w:val="22"/>
                <w:szCs w:val="22"/>
              </w:rPr>
              <w:t>2.   Якщо член мережі має будь-яку інформацію щодо існування серйозного прямого або непрямого ризику для здоров'я людини, що виникає від харчових продуктів або кормів, про цю інформацію негайно повідомляється Комісії в рамках системи швидкого оповіщення. Комісія негайно передає цю інформацію членам мережі.</w:t>
            </w:r>
          </w:p>
          <w:p w14:paraId="6F01328C" w14:textId="77777777" w:rsidR="001444E1" w:rsidRDefault="00000000">
            <w:pPr>
              <w:shd w:val="clear" w:color="auto" w:fill="FFFFFF"/>
              <w:jc w:val="both"/>
              <w:rPr>
                <w:color w:val="000000"/>
                <w:sz w:val="22"/>
                <w:szCs w:val="22"/>
              </w:rPr>
            </w:pPr>
            <w:r>
              <w:rPr>
                <w:color w:val="000000"/>
                <w:sz w:val="22"/>
                <w:szCs w:val="22"/>
              </w:rPr>
              <w:t>Орган може доповнити повідомлення будь-якою науковою або технічною інформацією, яка сприятиме швидким та належним діям держав-членів щодо управління ризиками.</w:t>
            </w:r>
          </w:p>
          <w:p w14:paraId="1BFD0CDD" w14:textId="77777777" w:rsidR="001444E1" w:rsidRDefault="00000000">
            <w:pPr>
              <w:shd w:val="clear" w:color="auto" w:fill="FFFFFF"/>
              <w:jc w:val="both"/>
              <w:rPr>
                <w:color w:val="000000"/>
                <w:sz w:val="22"/>
                <w:szCs w:val="22"/>
              </w:rPr>
            </w:pPr>
            <w:r>
              <w:rPr>
                <w:color w:val="000000"/>
                <w:sz w:val="22"/>
                <w:szCs w:val="22"/>
              </w:rPr>
              <w:t>…</w:t>
            </w:r>
          </w:p>
          <w:p w14:paraId="55E33241" w14:textId="77777777" w:rsidR="001444E1" w:rsidRDefault="00000000">
            <w:pPr>
              <w:shd w:val="clear" w:color="auto" w:fill="FFFFFF"/>
              <w:jc w:val="center"/>
              <w:rPr>
                <w:color w:val="000000"/>
                <w:sz w:val="22"/>
                <w:szCs w:val="22"/>
              </w:rPr>
            </w:pPr>
            <w:r>
              <w:rPr>
                <w:color w:val="000000"/>
                <w:sz w:val="22"/>
                <w:szCs w:val="22"/>
              </w:rPr>
              <w:t>Регламент № 2017/625</w:t>
            </w:r>
          </w:p>
          <w:p w14:paraId="080BDBC2" w14:textId="77777777" w:rsidR="001444E1" w:rsidRDefault="00000000">
            <w:pPr>
              <w:shd w:val="clear" w:color="auto" w:fill="FFFFFF"/>
              <w:jc w:val="center"/>
              <w:rPr>
                <w:color w:val="000000"/>
                <w:sz w:val="22"/>
                <w:szCs w:val="22"/>
              </w:rPr>
            </w:pPr>
            <w:r>
              <w:rPr>
                <w:color w:val="000000"/>
                <w:sz w:val="22"/>
                <w:szCs w:val="22"/>
              </w:rPr>
              <w:t>РОЗДІЛ I</w:t>
            </w:r>
          </w:p>
          <w:p w14:paraId="49FA436B" w14:textId="77777777" w:rsidR="001444E1" w:rsidRDefault="00000000">
            <w:pPr>
              <w:shd w:val="clear" w:color="auto" w:fill="FFFFFF"/>
              <w:rPr>
                <w:color w:val="000000"/>
                <w:sz w:val="22"/>
                <w:szCs w:val="22"/>
              </w:rPr>
            </w:pPr>
            <w:r>
              <w:rPr>
                <w:color w:val="000000"/>
                <w:sz w:val="22"/>
                <w:szCs w:val="22"/>
              </w:rPr>
              <w:t>…</w:t>
            </w:r>
          </w:p>
          <w:p w14:paraId="20F94494" w14:textId="77777777" w:rsidR="001444E1" w:rsidRDefault="00000000">
            <w:pPr>
              <w:shd w:val="clear" w:color="auto" w:fill="FFFFFF"/>
              <w:jc w:val="both"/>
              <w:rPr>
                <w:color w:val="000000"/>
                <w:sz w:val="22"/>
                <w:szCs w:val="22"/>
              </w:rPr>
            </w:pPr>
            <w:r>
              <w:rPr>
                <w:color w:val="000000"/>
                <w:sz w:val="22"/>
                <w:szCs w:val="22"/>
              </w:rPr>
              <w:t>Стаття 1</w:t>
            </w:r>
          </w:p>
          <w:p w14:paraId="15C89A0A" w14:textId="77777777" w:rsidR="001444E1" w:rsidRDefault="00000000">
            <w:pPr>
              <w:shd w:val="clear" w:color="auto" w:fill="FFFFFF"/>
              <w:jc w:val="both"/>
              <w:rPr>
                <w:color w:val="000000"/>
                <w:sz w:val="22"/>
                <w:szCs w:val="22"/>
              </w:rPr>
            </w:pPr>
            <w:r>
              <w:rPr>
                <w:color w:val="000000"/>
                <w:sz w:val="22"/>
                <w:szCs w:val="22"/>
              </w:rPr>
              <w:t>Предмет та сфера застосування</w:t>
            </w:r>
          </w:p>
          <w:p w14:paraId="4BCA34EB" w14:textId="77777777" w:rsidR="001444E1" w:rsidRDefault="00000000">
            <w:pPr>
              <w:shd w:val="clear" w:color="auto" w:fill="FFFFFF"/>
              <w:jc w:val="both"/>
              <w:rPr>
                <w:color w:val="000000"/>
                <w:sz w:val="22"/>
                <w:szCs w:val="22"/>
              </w:rPr>
            </w:pPr>
            <w:r>
              <w:rPr>
                <w:color w:val="000000"/>
                <w:sz w:val="22"/>
                <w:szCs w:val="22"/>
              </w:rPr>
              <w:lastRenderedPageBreak/>
              <w:t>1.   Цей Регламент встановлює правила для:</w:t>
            </w:r>
          </w:p>
          <w:p w14:paraId="275CF98F" w14:textId="77777777" w:rsidR="001444E1" w:rsidRDefault="00000000">
            <w:pPr>
              <w:shd w:val="clear" w:color="auto" w:fill="FFFFFF"/>
              <w:jc w:val="both"/>
              <w:rPr>
                <w:color w:val="000000"/>
                <w:sz w:val="22"/>
                <w:szCs w:val="22"/>
              </w:rPr>
            </w:pPr>
            <w:r>
              <w:rPr>
                <w:color w:val="000000"/>
                <w:sz w:val="22"/>
                <w:szCs w:val="22"/>
              </w:rPr>
              <w:t>…</w:t>
            </w:r>
          </w:p>
          <w:p w14:paraId="34DEA2CA" w14:textId="77777777" w:rsidR="001444E1" w:rsidRDefault="00000000">
            <w:pPr>
              <w:shd w:val="clear" w:color="auto" w:fill="FFFFFF"/>
              <w:jc w:val="both"/>
              <w:rPr>
                <w:color w:val="000000"/>
                <w:sz w:val="22"/>
                <w:szCs w:val="22"/>
              </w:rPr>
            </w:pPr>
            <w:r>
              <w:rPr>
                <w:color w:val="000000"/>
                <w:sz w:val="22"/>
                <w:szCs w:val="22"/>
              </w:rPr>
              <w:t>(f) створення комп’ютеризованої інформаційної системи для управління інформацією та даними стосовно офіційного контролю.</w:t>
            </w:r>
          </w:p>
          <w:p w14:paraId="5C17EFEE" w14:textId="77777777" w:rsidR="001444E1" w:rsidRDefault="00000000">
            <w:pPr>
              <w:shd w:val="clear" w:color="auto" w:fill="FFFFFF"/>
              <w:jc w:val="both"/>
              <w:rPr>
                <w:color w:val="000000"/>
                <w:sz w:val="22"/>
                <w:szCs w:val="22"/>
              </w:rPr>
            </w:pPr>
            <w:r>
              <w:rPr>
                <w:color w:val="000000"/>
                <w:sz w:val="22"/>
                <w:szCs w:val="22"/>
              </w:rPr>
              <w:t>…</w:t>
            </w:r>
          </w:p>
          <w:p w14:paraId="1D5C616B" w14:textId="77777777" w:rsidR="001444E1" w:rsidRDefault="00000000">
            <w:pPr>
              <w:shd w:val="clear" w:color="auto" w:fill="FFFFFF"/>
              <w:jc w:val="both"/>
              <w:rPr>
                <w:color w:val="000000"/>
                <w:sz w:val="22"/>
                <w:szCs w:val="22"/>
              </w:rPr>
            </w:pPr>
            <w:r>
              <w:rPr>
                <w:color w:val="000000"/>
                <w:sz w:val="22"/>
                <w:szCs w:val="22"/>
              </w:rPr>
              <w:t>РОЗДІЛ IV</w:t>
            </w:r>
          </w:p>
          <w:p w14:paraId="7C12052F" w14:textId="77777777" w:rsidR="001444E1" w:rsidRDefault="001444E1">
            <w:pPr>
              <w:shd w:val="clear" w:color="auto" w:fill="FFFFFF"/>
              <w:jc w:val="both"/>
              <w:rPr>
                <w:color w:val="000000"/>
                <w:sz w:val="22"/>
                <w:szCs w:val="22"/>
              </w:rPr>
            </w:pPr>
          </w:p>
          <w:p w14:paraId="5A5DC892" w14:textId="77777777" w:rsidR="001444E1" w:rsidRDefault="00000000">
            <w:pPr>
              <w:shd w:val="clear" w:color="auto" w:fill="FFFFFF"/>
              <w:jc w:val="both"/>
              <w:rPr>
                <w:color w:val="000000"/>
                <w:sz w:val="22"/>
                <w:szCs w:val="22"/>
              </w:rPr>
            </w:pPr>
            <w:r>
              <w:rPr>
                <w:color w:val="000000"/>
                <w:sz w:val="22"/>
                <w:szCs w:val="22"/>
              </w:rPr>
              <w:t>Система управління інформацією</w:t>
            </w:r>
          </w:p>
          <w:p w14:paraId="5AE4637A" w14:textId="77777777" w:rsidR="001444E1" w:rsidRDefault="001444E1">
            <w:pPr>
              <w:shd w:val="clear" w:color="auto" w:fill="FFFFFF"/>
              <w:jc w:val="both"/>
              <w:rPr>
                <w:color w:val="000000"/>
                <w:sz w:val="22"/>
                <w:szCs w:val="22"/>
              </w:rPr>
            </w:pPr>
          </w:p>
          <w:p w14:paraId="06C92261" w14:textId="77777777" w:rsidR="001444E1" w:rsidRDefault="00000000">
            <w:pPr>
              <w:shd w:val="clear" w:color="auto" w:fill="FFFFFF"/>
              <w:jc w:val="both"/>
              <w:rPr>
                <w:color w:val="000000"/>
                <w:sz w:val="22"/>
                <w:szCs w:val="22"/>
              </w:rPr>
            </w:pPr>
            <w:r>
              <w:rPr>
                <w:color w:val="000000"/>
                <w:sz w:val="22"/>
                <w:szCs w:val="22"/>
              </w:rPr>
              <w:t>Стаття 131</w:t>
            </w:r>
          </w:p>
          <w:p w14:paraId="6D389BA8" w14:textId="77777777" w:rsidR="001444E1" w:rsidRDefault="00000000">
            <w:pPr>
              <w:shd w:val="clear" w:color="auto" w:fill="FFFFFF"/>
              <w:jc w:val="both"/>
              <w:rPr>
                <w:color w:val="000000"/>
                <w:sz w:val="22"/>
                <w:szCs w:val="22"/>
              </w:rPr>
            </w:pPr>
            <w:r>
              <w:rPr>
                <w:color w:val="000000"/>
                <w:sz w:val="22"/>
                <w:szCs w:val="22"/>
              </w:rPr>
              <w:t>Система управління інформацією для офіційного контролю (IMSOC)</w:t>
            </w:r>
          </w:p>
          <w:p w14:paraId="2FB8739E" w14:textId="77777777" w:rsidR="001444E1" w:rsidRDefault="00000000">
            <w:pPr>
              <w:shd w:val="clear" w:color="auto" w:fill="FFFFFF"/>
              <w:jc w:val="both"/>
              <w:rPr>
                <w:color w:val="000000"/>
                <w:sz w:val="22"/>
                <w:szCs w:val="22"/>
              </w:rPr>
            </w:pPr>
            <w:r>
              <w:rPr>
                <w:color w:val="000000"/>
                <w:sz w:val="22"/>
                <w:szCs w:val="22"/>
              </w:rPr>
              <w:t>1.   Комісія, у співпраці з державами-членами, створює та керує комп’ютеризованою системою управління інформацією для офіційного контролю (IMSOC) для інтегрованого функціонування механізмів та інструментів, за допомогою яких дані, інформація та документи щодо офіційного контролю та іншої офіційної діяльності управляються, обробляються та автоматично обмінюються ними.</w:t>
            </w:r>
          </w:p>
          <w:p w14:paraId="52384A57" w14:textId="77777777" w:rsidR="001444E1" w:rsidRDefault="00000000">
            <w:pPr>
              <w:shd w:val="clear" w:color="auto" w:fill="FFFFFF"/>
              <w:jc w:val="both"/>
              <w:rPr>
                <w:color w:val="000000"/>
                <w:sz w:val="22"/>
                <w:szCs w:val="22"/>
              </w:rPr>
            </w:pPr>
            <w:r>
              <w:rPr>
                <w:color w:val="000000"/>
                <w:sz w:val="22"/>
                <w:szCs w:val="22"/>
              </w:rPr>
              <w:t>…</w:t>
            </w:r>
          </w:p>
          <w:p w14:paraId="5488D28E" w14:textId="77777777" w:rsidR="001444E1" w:rsidRDefault="00000000">
            <w:pPr>
              <w:shd w:val="clear" w:color="auto" w:fill="FFFFFF"/>
              <w:jc w:val="center"/>
              <w:rPr>
                <w:sz w:val="25"/>
                <w:szCs w:val="25"/>
              </w:rPr>
            </w:pPr>
            <w:proofErr w:type="spellStart"/>
            <w:r>
              <w:rPr>
                <w:sz w:val="25"/>
                <w:szCs w:val="25"/>
              </w:rPr>
              <w:t>Імплементаційний</w:t>
            </w:r>
            <w:proofErr w:type="spellEnd"/>
            <w:r>
              <w:rPr>
                <w:sz w:val="25"/>
                <w:szCs w:val="25"/>
              </w:rPr>
              <w:t xml:space="preserve"> регламент</w:t>
            </w:r>
          </w:p>
          <w:p w14:paraId="20028175" w14:textId="77777777" w:rsidR="001444E1" w:rsidRDefault="00000000">
            <w:pPr>
              <w:shd w:val="clear" w:color="auto" w:fill="FFFFFF"/>
              <w:jc w:val="center"/>
              <w:rPr>
                <w:i/>
                <w:color w:val="000000"/>
                <w:sz w:val="22"/>
                <w:szCs w:val="22"/>
              </w:rPr>
            </w:pPr>
            <w:r>
              <w:rPr>
                <w:sz w:val="25"/>
                <w:szCs w:val="25"/>
              </w:rPr>
              <w:t>№ 2019/1715</w:t>
            </w:r>
          </w:p>
          <w:p w14:paraId="1B2D2040" w14:textId="77777777" w:rsidR="001444E1" w:rsidRDefault="00000000">
            <w:pPr>
              <w:shd w:val="clear" w:color="auto" w:fill="FFFFFF"/>
              <w:jc w:val="both"/>
              <w:rPr>
                <w:color w:val="000000"/>
                <w:sz w:val="22"/>
                <w:szCs w:val="22"/>
              </w:rPr>
            </w:pPr>
            <w:r>
              <w:rPr>
                <w:color w:val="000000"/>
                <w:sz w:val="22"/>
                <w:szCs w:val="22"/>
              </w:rPr>
              <w:t>Стаття 1</w:t>
            </w:r>
          </w:p>
          <w:p w14:paraId="2D3AFA50" w14:textId="77777777" w:rsidR="001444E1" w:rsidRDefault="00000000">
            <w:pPr>
              <w:shd w:val="clear" w:color="auto" w:fill="FFFFFF"/>
              <w:jc w:val="both"/>
              <w:rPr>
                <w:color w:val="000000"/>
                <w:sz w:val="22"/>
                <w:szCs w:val="22"/>
              </w:rPr>
            </w:pPr>
            <w:r>
              <w:rPr>
                <w:color w:val="000000"/>
                <w:sz w:val="22"/>
                <w:szCs w:val="22"/>
              </w:rPr>
              <w:t>Предмет та сфера застосування</w:t>
            </w:r>
          </w:p>
          <w:p w14:paraId="4AA19858" w14:textId="77777777" w:rsidR="001444E1" w:rsidRDefault="00000000">
            <w:pPr>
              <w:shd w:val="clear" w:color="auto" w:fill="FFFFFF"/>
              <w:jc w:val="both"/>
              <w:rPr>
                <w:color w:val="000000"/>
                <w:sz w:val="22"/>
                <w:szCs w:val="22"/>
              </w:rPr>
            </w:pPr>
            <w:r>
              <w:rPr>
                <w:color w:val="000000"/>
                <w:sz w:val="22"/>
                <w:szCs w:val="22"/>
              </w:rPr>
              <w:t>1.   Цей Регламент встановлює:</w:t>
            </w:r>
          </w:p>
          <w:p w14:paraId="345E342C" w14:textId="77777777" w:rsidR="001444E1" w:rsidRDefault="00000000">
            <w:pPr>
              <w:shd w:val="clear" w:color="auto" w:fill="FFFFFF"/>
              <w:jc w:val="both"/>
              <w:rPr>
                <w:color w:val="000000"/>
                <w:sz w:val="22"/>
                <w:szCs w:val="22"/>
              </w:rPr>
            </w:pPr>
            <w:r>
              <w:rPr>
                <w:color w:val="000000"/>
                <w:sz w:val="22"/>
                <w:szCs w:val="22"/>
              </w:rPr>
              <w:t xml:space="preserve">(а) конкретні умови та процедури, що застосовуються до передачі повідомлень та додаткової інформації </w:t>
            </w:r>
            <w:r>
              <w:rPr>
                <w:color w:val="000000"/>
                <w:sz w:val="22"/>
                <w:szCs w:val="22"/>
              </w:rPr>
              <w:lastRenderedPageBreak/>
              <w:t>для Системи швидкого оповіщення про харчові продукти та корми (RASFF), яка має бути створена відповідно до Регламенту (ЄС) № 178/2002;</w:t>
            </w:r>
          </w:p>
          <w:p w14:paraId="1D044B69" w14:textId="77777777" w:rsidR="001444E1" w:rsidRDefault="00000000">
            <w:pPr>
              <w:shd w:val="clear" w:color="auto" w:fill="FFFFFF"/>
              <w:jc w:val="both"/>
              <w:rPr>
                <w:color w:val="000000"/>
                <w:sz w:val="22"/>
                <w:szCs w:val="22"/>
              </w:rPr>
            </w:pPr>
            <w:r>
              <w:rPr>
                <w:color w:val="000000"/>
                <w:sz w:val="22"/>
                <w:szCs w:val="22"/>
              </w:rPr>
              <w:t>(б) процедури створення та використання комп’ютеризованої системи оповіщення та звітності про хвороби в Союзі, яка має бути створена та управлятися Комісією відповідно до статті 22 Регламенту (ЄС) 2016/429;</w:t>
            </w:r>
          </w:p>
          <w:p w14:paraId="48CDC34D" w14:textId="77777777" w:rsidR="001444E1" w:rsidRDefault="00000000">
            <w:pPr>
              <w:shd w:val="clear" w:color="auto" w:fill="FFFFFF"/>
              <w:jc w:val="both"/>
              <w:rPr>
                <w:color w:val="000000"/>
                <w:sz w:val="22"/>
                <w:szCs w:val="22"/>
              </w:rPr>
            </w:pPr>
            <w:r>
              <w:rPr>
                <w:color w:val="000000"/>
                <w:sz w:val="22"/>
                <w:szCs w:val="22"/>
              </w:rPr>
              <w:t>(с) конкретні правила, включаючи терміни, для подання повідомлень, що мають бути встановлені відповідно до Регламенту (ЄС) 2016/2031;</w:t>
            </w:r>
          </w:p>
          <w:p w14:paraId="18CA37BE" w14:textId="77777777" w:rsidR="001444E1" w:rsidRDefault="00000000">
            <w:pPr>
              <w:shd w:val="clear" w:color="auto" w:fill="FFFFFF"/>
              <w:jc w:val="both"/>
              <w:rPr>
                <w:color w:val="000000"/>
                <w:sz w:val="22"/>
                <w:szCs w:val="22"/>
              </w:rPr>
            </w:pPr>
            <w:r>
              <w:rPr>
                <w:color w:val="000000"/>
                <w:sz w:val="22"/>
                <w:szCs w:val="22"/>
              </w:rPr>
              <w:t>(г) правила комп’ютеризованої обробки та обміну інформацією, даними та документами в системі управління інформацією для офіційного контролю (IMSOC), необхідних для здійснення офіційного контролю, передбаченого Регламентом (ЄС) 2017/625, стосовно:</w:t>
            </w:r>
          </w:p>
          <w:p w14:paraId="20C9348A" w14:textId="77777777" w:rsidR="001444E1" w:rsidRDefault="00000000">
            <w:pPr>
              <w:shd w:val="clear" w:color="auto" w:fill="FFFFFF"/>
              <w:jc w:val="both"/>
              <w:rPr>
                <w:color w:val="000000"/>
                <w:sz w:val="22"/>
                <w:szCs w:val="22"/>
              </w:rPr>
            </w:pPr>
            <w:r>
              <w:rPr>
                <w:color w:val="000000"/>
                <w:sz w:val="22"/>
                <w:szCs w:val="22"/>
              </w:rPr>
              <w:t>(і) формат єдиного медичного ввізного документа (ЄС) (ЄС-ЄС), зазначеного у статті 56 Регламенту (ЄС) 2017/625, включаючи його електронний еквівалент, та інструкції щодо його подання та використання;</w:t>
            </w:r>
          </w:p>
          <w:p w14:paraId="61F154AB" w14:textId="77777777" w:rsidR="001444E1" w:rsidRDefault="00000000">
            <w:pPr>
              <w:shd w:val="clear" w:color="auto" w:fill="FFFFFF"/>
              <w:jc w:val="both"/>
              <w:rPr>
                <w:color w:val="000000"/>
                <w:sz w:val="22"/>
                <w:szCs w:val="22"/>
              </w:rPr>
            </w:pPr>
            <w:r>
              <w:rPr>
                <w:color w:val="000000"/>
                <w:sz w:val="22"/>
                <w:szCs w:val="22"/>
              </w:rPr>
              <w:t>(</w:t>
            </w:r>
            <w:proofErr w:type="spellStart"/>
            <w:r>
              <w:rPr>
                <w:color w:val="000000"/>
                <w:sz w:val="22"/>
                <w:szCs w:val="22"/>
              </w:rPr>
              <w:t>іі</w:t>
            </w:r>
            <w:proofErr w:type="spellEnd"/>
            <w:r>
              <w:rPr>
                <w:color w:val="000000"/>
                <w:sz w:val="22"/>
                <w:szCs w:val="22"/>
              </w:rPr>
              <w:t>) єдині домовленості щодо співпраці між митними органами, компетентними органами та іншими органами, як зазначено у статті 75 Регламенту (ЄС) 2017/625;</w:t>
            </w:r>
          </w:p>
          <w:p w14:paraId="024A095A" w14:textId="77777777" w:rsidR="001444E1" w:rsidRDefault="00000000">
            <w:pPr>
              <w:shd w:val="clear" w:color="auto" w:fill="FFFFFF"/>
              <w:jc w:val="both"/>
              <w:rPr>
                <w:color w:val="000000"/>
                <w:sz w:val="22"/>
                <w:szCs w:val="22"/>
              </w:rPr>
            </w:pPr>
            <w:r>
              <w:rPr>
                <w:color w:val="000000"/>
                <w:sz w:val="22"/>
                <w:szCs w:val="22"/>
              </w:rPr>
              <w:t xml:space="preserve">(iii) видача електронних сертифікатів та використання електронних підписів </w:t>
            </w:r>
            <w:r>
              <w:rPr>
                <w:color w:val="000000"/>
                <w:sz w:val="22"/>
                <w:szCs w:val="22"/>
              </w:rPr>
              <w:lastRenderedPageBreak/>
              <w:t>для офіційних сертифікатів, зазначених у статті 87 Регламенту (ЄС) 2017/625;</w:t>
            </w:r>
          </w:p>
          <w:p w14:paraId="6D558461" w14:textId="77777777" w:rsidR="001444E1" w:rsidRDefault="00000000">
            <w:pPr>
              <w:shd w:val="clear" w:color="auto" w:fill="FFFFFF"/>
              <w:jc w:val="both"/>
              <w:rPr>
                <w:color w:val="000000"/>
                <w:sz w:val="22"/>
                <w:szCs w:val="22"/>
              </w:rPr>
            </w:pPr>
            <w:r>
              <w:rPr>
                <w:color w:val="000000"/>
                <w:sz w:val="22"/>
                <w:szCs w:val="22"/>
              </w:rPr>
              <w:t>(iv) стандартні формати для обміну інформацією в рамках адміністративної допомоги та співробітництва, як зазначено в Розділі IV Регламенту (ЄС) 2017/625, щодо:</w:t>
            </w:r>
          </w:p>
          <w:p w14:paraId="04C47069" w14:textId="77777777" w:rsidR="001444E1" w:rsidRDefault="00000000">
            <w:pPr>
              <w:shd w:val="clear" w:color="auto" w:fill="FFFFFF"/>
              <w:jc w:val="both"/>
              <w:rPr>
                <w:color w:val="000000"/>
                <w:sz w:val="22"/>
                <w:szCs w:val="22"/>
              </w:rPr>
            </w:pPr>
            <w:r>
              <w:rPr>
                <w:color w:val="000000"/>
                <w:sz w:val="22"/>
                <w:szCs w:val="22"/>
              </w:rPr>
              <w:t>— запити на допомогу,</w:t>
            </w:r>
          </w:p>
          <w:p w14:paraId="7F19173A" w14:textId="77777777" w:rsidR="001444E1" w:rsidRDefault="00000000">
            <w:pPr>
              <w:shd w:val="clear" w:color="auto" w:fill="FFFFFF"/>
              <w:jc w:val="both"/>
              <w:rPr>
                <w:color w:val="000000"/>
                <w:sz w:val="22"/>
                <w:szCs w:val="22"/>
              </w:rPr>
            </w:pPr>
            <w:r>
              <w:rPr>
                <w:color w:val="000000"/>
                <w:sz w:val="22"/>
                <w:szCs w:val="22"/>
              </w:rPr>
              <w:t>— поширені та повторювані сповіщення та відповіді;</w:t>
            </w:r>
          </w:p>
          <w:p w14:paraId="009CF6EC" w14:textId="77777777" w:rsidR="001444E1" w:rsidRDefault="00000000">
            <w:pPr>
              <w:shd w:val="clear" w:color="auto" w:fill="FFFFFF"/>
              <w:jc w:val="both"/>
              <w:rPr>
                <w:color w:val="000000"/>
                <w:sz w:val="22"/>
                <w:szCs w:val="22"/>
              </w:rPr>
            </w:pPr>
            <w:r>
              <w:rPr>
                <w:color w:val="000000"/>
                <w:sz w:val="22"/>
                <w:szCs w:val="22"/>
              </w:rPr>
              <w:t>(в) специфікації технічних інструментів та процедур для зв’язку між органами зв’язку, призначеними відповідно до статті 103(1) Регламенту (ЄС) 2017/625;</w:t>
            </w:r>
          </w:p>
          <w:p w14:paraId="20B9701D" w14:textId="77777777" w:rsidR="001444E1" w:rsidRDefault="00000000">
            <w:pPr>
              <w:shd w:val="clear" w:color="auto" w:fill="FFFFFF"/>
              <w:jc w:val="both"/>
              <w:rPr>
                <w:color w:val="000000"/>
                <w:sz w:val="22"/>
                <w:szCs w:val="22"/>
              </w:rPr>
            </w:pPr>
            <w:r>
              <w:rPr>
                <w:color w:val="000000"/>
                <w:sz w:val="22"/>
                <w:szCs w:val="22"/>
              </w:rPr>
              <w:t>(vi) належне функціонування IMSOC, зазначеної у Розділі IV Розділу VI Регламенту (ЄС) 2017/625.</w:t>
            </w:r>
          </w:p>
          <w:p w14:paraId="050EBABE" w14:textId="77777777" w:rsidR="001444E1" w:rsidRDefault="00000000">
            <w:pPr>
              <w:shd w:val="clear" w:color="auto" w:fill="FFFFFF"/>
              <w:jc w:val="both"/>
              <w:rPr>
                <w:color w:val="000000"/>
                <w:sz w:val="22"/>
                <w:szCs w:val="22"/>
              </w:rPr>
            </w:pPr>
            <w:r>
              <w:rPr>
                <w:color w:val="000000"/>
                <w:sz w:val="22"/>
                <w:szCs w:val="22"/>
              </w:rPr>
              <w:t>…</w:t>
            </w:r>
          </w:p>
          <w:p w14:paraId="211EBE77" w14:textId="77777777" w:rsidR="001444E1" w:rsidRDefault="00000000">
            <w:pPr>
              <w:shd w:val="clear" w:color="auto" w:fill="FFFFFF"/>
              <w:jc w:val="both"/>
              <w:rPr>
                <w:color w:val="000000"/>
                <w:sz w:val="22"/>
                <w:szCs w:val="22"/>
              </w:rPr>
            </w:pPr>
            <w:r>
              <w:rPr>
                <w:color w:val="000000"/>
                <w:sz w:val="22"/>
                <w:szCs w:val="22"/>
              </w:rPr>
              <w:t>Стаття 7</w:t>
            </w:r>
          </w:p>
          <w:p w14:paraId="337D963D" w14:textId="77777777" w:rsidR="001444E1" w:rsidRDefault="00000000">
            <w:pPr>
              <w:shd w:val="clear" w:color="auto" w:fill="FFFFFF"/>
              <w:jc w:val="both"/>
              <w:rPr>
                <w:color w:val="000000"/>
                <w:sz w:val="22"/>
                <w:szCs w:val="22"/>
              </w:rPr>
            </w:pPr>
            <w:r>
              <w:rPr>
                <w:color w:val="000000"/>
                <w:sz w:val="22"/>
                <w:szCs w:val="22"/>
              </w:rPr>
              <w:t>Електронний обмін даними між компонентами та іншими електронними системами</w:t>
            </w:r>
          </w:p>
          <w:p w14:paraId="73F96A6D" w14:textId="77777777" w:rsidR="001444E1" w:rsidRDefault="00000000">
            <w:pPr>
              <w:shd w:val="clear" w:color="auto" w:fill="FFFFFF"/>
              <w:jc w:val="both"/>
              <w:rPr>
                <w:color w:val="000000"/>
                <w:sz w:val="22"/>
                <w:szCs w:val="22"/>
              </w:rPr>
            </w:pPr>
            <w:r>
              <w:rPr>
                <w:color w:val="000000"/>
                <w:sz w:val="22"/>
                <w:szCs w:val="22"/>
              </w:rPr>
              <w:t>1.   Обмін даними між IMSOC та іншими електронними системами, включаючи національні системи держав-членів, повинен:</w:t>
            </w:r>
          </w:p>
          <w:p w14:paraId="4274CC00" w14:textId="77777777" w:rsidR="001444E1" w:rsidRDefault="00000000">
            <w:pPr>
              <w:shd w:val="clear" w:color="auto" w:fill="FFFFFF"/>
              <w:jc w:val="both"/>
              <w:rPr>
                <w:color w:val="000000"/>
                <w:sz w:val="22"/>
                <w:szCs w:val="22"/>
              </w:rPr>
            </w:pPr>
            <w:r>
              <w:rPr>
                <w:color w:val="000000"/>
                <w:sz w:val="22"/>
                <w:szCs w:val="22"/>
              </w:rPr>
              <w:t>(а) базуватися на міжнародних стандартах, що стосуються компонента, та використовувати формати XML, CMS або PDF;</w:t>
            </w:r>
          </w:p>
          <w:p w14:paraId="15C2E98E" w14:textId="77777777" w:rsidR="001444E1" w:rsidRDefault="00000000">
            <w:pPr>
              <w:shd w:val="clear" w:color="auto" w:fill="FFFFFF"/>
              <w:jc w:val="both"/>
              <w:rPr>
                <w:color w:val="000000"/>
                <w:sz w:val="22"/>
                <w:szCs w:val="22"/>
              </w:rPr>
            </w:pPr>
            <w:bookmarkStart w:id="7" w:name="_heading=h.rxk0kxij340q" w:colFirst="0" w:colLast="0"/>
            <w:bookmarkEnd w:id="7"/>
            <w:r>
              <w:rPr>
                <w:color w:val="000000"/>
                <w:sz w:val="22"/>
                <w:szCs w:val="22"/>
              </w:rPr>
              <w:t>(б) використовувати спеціальні словники даних та бізнес-правила, передбачені у відповідному компоненті.</w:t>
            </w:r>
          </w:p>
        </w:tc>
        <w:tc>
          <w:tcPr>
            <w:tcW w:w="1827" w:type="dxa"/>
            <w:shd w:val="clear" w:color="auto" w:fill="auto"/>
          </w:tcPr>
          <w:p w14:paraId="71869FFC" w14:textId="77777777" w:rsidR="001444E1" w:rsidRDefault="00000000">
            <w:pPr>
              <w:jc w:val="center"/>
              <w:rPr>
                <w:color w:val="000000"/>
                <w:sz w:val="22"/>
                <w:szCs w:val="22"/>
              </w:rPr>
            </w:pPr>
            <w:r>
              <w:rPr>
                <w:color w:val="000000"/>
                <w:sz w:val="22"/>
                <w:szCs w:val="22"/>
              </w:rPr>
              <w:lastRenderedPageBreak/>
              <w:t>Не суперечить</w:t>
            </w:r>
          </w:p>
        </w:tc>
        <w:tc>
          <w:tcPr>
            <w:tcW w:w="2669" w:type="dxa"/>
            <w:shd w:val="clear" w:color="auto" w:fill="auto"/>
          </w:tcPr>
          <w:p w14:paraId="54B4779D" w14:textId="77777777" w:rsidR="001444E1" w:rsidRDefault="00000000">
            <w:pPr>
              <w:jc w:val="center"/>
              <w:rPr>
                <w:color w:val="000000"/>
                <w:sz w:val="22"/>
                <w:szCs w:val="22"/>
                <w:highlight w:val="white"/>
              </w:rPr>
            </w:pPr>
            <w:r>
              <w:rPr>
                <w:color w:val="000000"/>
                <w:sz w:val="22"/>
                <w:szCs w:val="22"/>
                <w:highlight w:val="white"/>
              </w:rPr>
              <w:t xml:space="preserve">Відповідно до статті 64 </w:t>
            </w:r>
            <w:r>
              <w:rPr>
                <w:color w:val="000000"/>
                <w:sz w:val="22"/>
                <w:szCs w:val="22"/>
                <w:highlight w:val="white"/>
              </w:rPr>
              <w:br/>
              <w:t xml:space="preserve">Глави 4 (Санітарні та фітосанітарні заходи) </w:t>
            </w:r>
            <w:r>
              <w:rPr>
                <w:color w:val="000000"/>
                <w:sz w:val="22"/>
                <w:szCs w:val="22"/>
                <w:highlight w:val="white"/>
              </w:rPr>
              <w:br/>
              <w:t>Розділу IV «Торгівля</w:t>
            </w:r>
            <w:r>
              <w:rPr>
                <w:color w:val="000000"/>
                <w:sz w:val="22"/>
                <w:szCs w:val="22"/>
                <w:highlight w:val="white"/>
              </w:rPr>
              <w:br/>
              <w:t>і питання, пов’язані з торгівлею» Угоди про асоціацію</w:t>
            </w:r>
          </w:p>
        </w:tc>
        <w:tc>
          <w:tcPr>
            <w:tcW w:w="1687" w:type="dxa"/>
            <w:shd w:val="clear" w:color="auto" w:fill="auto"/>
          </w:tcPr>
          <w:p w14:paraId="2A5D9F9F" w14:textId="77777777" w:rsidR="001444E1" w:rsidRDefault="00000000">
            <w:pPr>
              <w:jc w:val="center"/>
              <w:rPr>
                <w:color w:val="000000"/>
                <w:sz w:val="22"/>
                <w:szCs w:val="22"/>
              </w:rPr>
            </w:pPr>
            <w:r>
              <w:rPr>
                <w:color w:val="000000"/>
                <w:sz w:val="22"/>
                <w:szCs w:val="22"/>
              </w:rPr>
              <w:t>Не суперечить</w:t>
            </w:r>
          </w:p>
        </w:tc>
      </w:tr>
    </w:tbl>
    <w:p w14:paraId="6B48FE48" w14:textId="77777777" w:rsidR="001444E1" w:rsidRDefault="001444E1">
      <w:pPr>
        <w:rPr>
          <w:b/>
        </w:rPr>
        <w:sectPr w:rsidR="001444E1">
          <w:headerReference w:type="default" r:id="rId10"/>
          <w:footerReference w:type="default" r:id="rId11"/>
          <w:pgSz w:w="16838" w:h="11906" w:orient="landscape"/>
          <w:pgMar w:top="1417" w:right="850" w:bottom="850" w:left="850" w:header="708" w:footer="708" w:gutter="0"/>
          <w:pgNumType w:start="2"/>
          <w:cols w:space="720"/>
        </w:sectPr>
      </w:pPr>
    </w:p>
    <w:p w14:paraId="6A4FF11C" w14:textId="77777777" w:rsidR="001444E1" w:rsidRDefault="00000000">
      <w:pPr>
        <w:pBdr>
          <w:top w:val="nil"/>
          <w:left w:val="nil"/>
          <w:bottom w:val="nil"/>
          <w:right w:val="nil"/>
          <w:between w:val="nil"/>
        </w:pBdr>
        <w:spacing w:before="120" w:after="120"/>
        <w:ind w:firstLine="567"/>
        <w:jc w:val="both"/>
        <w:rPr>
          <w:b/>
          <w:color w:val="000000"/>
          <w:sz w:val="26"/>
          <w:szCs w:val="26"/>
        </w:rPr>
      </w:pPr>
      <w:r>
        <w:rPr>
          <w:b/>
          <w:color w:val="000000"/>
          <w:sz w:val="26"/>
          <w:szCs w:val="26"/>
        </w:rPr>
        <w:lastRenderedPageBreak/>
        <w:t>5. Очікувані результати</w:t>
      </w:r>
    </w:p>
    <w:p w14:paraId="17E1C12D" w14:textId="77777777" w:rsidR="001444E1" w:rsidRDefault="00000000">
      <w:pPr>
        <w:pBdr>
          <w:top w:val="nil"/>
          <w:left w:val="nil"/>
          <w:bottom w:val="nil"/>
          <w:right w:val="nil"/>
          <w:between w:val="nil"/>
        </w:pBdr>
        <w:ind w:firstLine="567"/>
        <w:jc w:val="both"/>
        <w:rPr>
          <w:color w:val="000000"/>
          <w:sz w:val="26"/>
          <w:szCs w:val="26"/>
        </w:rPr>
      </w:pPr>
      <w:bookmarkStart w:id="8" w:name="bookmark=id.i54lcru0maxe" w:colFirst="0" w:colLast="0"/>
      <w:bookmarkStart w:id="9" w:name="bookmark=id.wxw8s3k3uj4n" w:colFirst="0" w:colLast="0"/>
      <w:bookmarkEnd w:id="8"/>
      <w:bookmarkEnd w:id="9"/>
      <w:r>
        <w:rPr>
          <w:color w:val="000000"/>
          <w:sz w:val="26"/>
          <w:szCs w:val="26"/>
        </w:rPr>
        <w:t>Прийняття проекту акта забезпечить належне виконання зобов’язань України у сфері європейської інтеграції, а також вимог національного законодавства щодо впровадження сучасних цифрових інструментів у діяльність компетентного органу для підвищення ефективності надання публічних послуг та покращення адміністративних процесів.</w:t>
      </w:r>
    </w:p>
    <w:p w14:paraId="4ABC9471" w14:textId="77777777" w:rsidR="001444E1" w:rsidRDefault="00000000">
      <w:pPr>
        <w:pBdr>
          <w:top w:val="nil"/>
          <w:left w:val="nil"/>
          <w:bottom w:val="nil"/>
          <w:right w:val="nil"/>
          <w:between w:val="nil"/>
        </w:pBdr>
        <w:ind w:firstLine="567"/>
        <w:jc w:val="both"/>
        <w:rPr>
          <w:color w:val="000000"/>
          <w:sz w:val="26"/>
          <w:szCs w:val="26"/>
        </w:rPr>
      </w:pPr>
      <w:r>
        <w:rPr>
          <w:color w:val="000000"/>
          <w:sz w:val="26"/>
          <w:szCs w:val="26"/>
        </w:rPr>
        <w:t>Запровадження Єдиної державної електронної системи у сфері безпечності харчових продуктів та захисту споживачів сприятиме створенню єдиної цифрової екосистеми, яка об’єднає ключові інформаційно-комунікаційні системи та підсистеми, бази даних, реєстри, функціональні, програмні модулі, аналітичні платформи</w:t>
      </w:r>
      <w:r>
        <w:rPr>
          <w:color w:val="000000"/>
          <w:sz w:val="26"/>
          <w:szCs w:val="26"/>
          <w:vertAlign w:val="superscript"/>
        </w:rPr>
        <w:footnoteReference w:id="1"/>
      </w:r>
      <w:r>
        <w:rPr>
          <w:color w:val="000000"/>
          <w:sz w:val="26"/>
          <w:szCs w:val="26"/>
        </w:rPr>
        <w:t xml:space="preserve"> та забезпечить їх інтеграцію з </w:t>
      </w:r>
      <w:r>
        <w:rPr>
          <w:sz w:val="26"/>
          <w:szCs w:val="26"/>
        </w:rPr>
        <w:t xml:space="preserve">Єдиним державним </w:t>
      </w:r>
      <w:proofErr w:type="spellStart"/>
      <w:r>
        <w:rPr>
          <w:sz w:val="26"/>
          <w:szCs w:val="26"/>
        </w:rPr>
        <w:t>вебпорталом</w:t>
      </w:r>
      <w:proofErr w:type="spellEnd"/>
      <w:r>
        <w:rPr>
          <w:sz w:val="26"/>
          <w:szCs w:val="26"/>
        </w:rPr>
        <w:t xml:space="preserve"> електронних послуг (Портал Дія) ( у разі наявності технічної можливості)</w:t>
      </w:r>
      <w:r>
        <w:rPr>
          <w:color w:val="000000"/>
          <w:sz w:val="26"/>
          <w:szCs w:val="26"/>
        </w:rPr>
        <w:t>.</w:t>
      </w:r>
    </w:p>
    <w:p w14:paraId="3F979CA0" w14:textId="77777777" w:rsidR="001444E1" w:rsidRDefault="00000000">
      <w:pPr>
        <w:pBdr>
          <w:top w:val="nil"/>
          <w:left w:val="nil"/>
          <w:bottom w:val="nil"/>
          <w:right w:val="nil"/>
          <w:between w:val="nil"/>
        </w:pBdr>
        <w:ind w:firstLine="567"/>
        <w:jc w:val="both"/>
        <w:rPr>
          <w:color w:val="000000"/>
          <w:sz w:val="26"/>
          <w:szCs w:val="26"/>
        </w:rPr>
      </w:pPr>
      <w:r>
        <w:rPr>
          <w:color w:val="000000"/>
          <w:sz w:val="26"/>
          <w:szCs w:val="26"/>
        </w:rPr>
        <w:t>Реалізація електронної системи стане важливим етапом у вдосконаленні інформаційних систем, сприятиме їх інтеграції з іншими державними реєстрами та забезпечить належний рівень захисту даних. Впровадження вищевказаних рішень підвищить ефективність, прозорість і зручність отримання послуг та взаємодію з Держпродспоживслужбою.</w:t>
      </w:r>
    </w:p>
    <w:p w14:paraId="36607D58" w14:textId="77777777" w:rsidR="001444E1" w:rsidRDefault="00000000">
      <w:pPr>
        <w:pBdr>
          <w:top w:val="nil"/>
          <w:left w:val="nil"/>
          <w:bottom w:val="nil"/>
          <w:right w:val="nil"/>
          <w:between w:val="nil"/>
        </w:pBdr>
        <w:ind w:firstLine="567"/>
        <w:jc w:val="both"/>
        <w:rPr>
          <w:color w:val="000000"/>
          <w:sz w:val="26"/>
          <w:szCs w:val="26"/>
        </w:rPr>
      </w:pPr>
      <w:r>
        <w:rPr>
          <w:color w:val="000000"/>
          <w:sz w:val="26"/>
          <w:szCs w:val="26"/>
        </w:rPr>
        <w:t>Цифровізація процедури державної реєстрації потужностей, видачі експлуатаційних дозволів та затвердження тваринницьких потужностей  зменшить обсяг адміністративної роботи, скоротить час розгляду заяв, усуне бюрократичні перепони та підвищить прозорість процедур.</w:t>
      </w:r>
    </w:p>
    <w:p w14:paraId="2EB55CEE" w14:textId="77777777" w:rsidR="001444E1" w:rsidRDefault="001444E1">
      <w:pPr>
        <w:pBdr>
          <w:top w:val="nil"/>
          <w:left w:val="nil"/>
          <w:bottom w:val="nil"/>
          <w:right w:val="nil"/>
          <w:between w:val="nil"/>
        </w:pBdr>
        <w:ind w:firstLine="567"/>
        <w:jc w:val="both"/>
        <w:rPr>
          <w:color w:val="000000"/>
          <w:sz w:val="26"/>
          <w:szCs w:val="26"/>
        </w:rPr>
      </w:pPr>
    </w:p>
    <w:p w14:paraId="7EBAE6A1" w14:textId="77777777" w:rsidR="001444E1" w:rsidRDefault="00000000">
      <w:pPr>
        <w:pBdr>
          <w:top w:val="nil"/>
          <w:left w:val="nil"/>
          <w:bottom w:val="nil"/>
          <w:right w:val="nil"/>
          <w:between w:val="nil"/>
        </w:pBdr>
        <w:spacing w:before="120" w:after="120"/>
        <w:ind w:firstLine="567"/>
        <w:jc w:val="both"/>
        <w:rPr>
          <w:b/>
          <w:color w:val="000000"/>
          <w:sz w:val="26"/>
          <w:szCs w:val="26"/>
        </w:rPr>
      </w:pPr>
      <w:r>
        <w:rPr>
          <w:b/>
          <w:color w:val="000000"/>
          <w:sz w:val="26"/>
          <w:szCs w:val="26"/>
        </w:rPr>
        <w:t>6. Узагальнений висновок</w:t>
      </w:r>
    </w:p>
    <w:p w14:paraId="632EBC53" w14:textId="77777777" w:rsidR="001444E1" w:rsidRDefault="00000000">
      <w:pPr>
        <w:pBdr>
          <w:top w:val="nil"/>
          <w:left w:val="nil"/>
          <w:bottom w:val="nil"/>
          <w:right w:val="nil"/>
          <w:between w:val="nil"/>
        </w:pBdr>
        <w:spacing w:before="120" w:after="120"/>
        <w:ind w:firstLine="567"/>
        <w:jc w:val="both"/>
        <w:rPr>
          <w:color w:val="000000"/>
          <w:sz w:val="26"/>
          <w:szCs w:val="26"/>
        </w:rPr>
      </w:pPr>
      <w:r>
        <w:rPr>
          <w:sz w:val="26"/>
          <w:szCs w:val="26"/>
        </w:rPr>
        <w:t xml:space="preserve">Проект акта узгоджується з принципами Єдиного цифрового ринку Європейського Союзу, зокрема ініціативи </w:t>
      </w:r>
      <w:proofErr w:type="spellStart"/>
      <w:r>
        <w:rPr>
          <w:sz w:val="26"/>
          <w:szCs w:val="26"/>
        </w:rPr>
        <w:t>eGovernment</w:t>
      </w:r>
      <w:proofErr w:type="spellEnd"/>
      <w:r>
        <w:rPr>
          <w:sz w:val="26"/>
          <w:szCs w:val="26"/>
        </w:rPr>
        <w:t xml:space="preserve"> , яка передбачає спрощення адміністративних процедур шляхом впровадження цифрових технологій і покликана покращити взаємодію між громадянами, бізнесом та державними органами через інноваційні рішення, що забезпечують доступність і прозорість державних послуг.</w:t>
      </w:r>
    </w:p>
    <w:p w14:paraId="12FBB683" w14:textId="77777777" w:rsidR="001444E1" w:rsidRDefault="00000000">
      <w:pPr>
        <w:pBdr>
          <w:top w:val="nil"/>
          <w:left w:val="nil"/>
          <w:bottom w:val="nil"/>
          <w:right w:val="nil"/>
          <w:between w:val="nil"/>
        </w:pBdr>
        <w:jc w:val="both"/>
        <w:rPr>
          <w:sz w:val="22"/>
          <w:szCs w:val="22"/>
        </w:rPr>
      </w:pPr>
      <w:r>
        <w:rPr>
          <w:b/>
          <w:color w:val="000000"/>
          <w:sz w:val="26"/>
          <w:szCs w:val="26"/>
        </w:rPr>
        <w:t xml:space="preserve">                                                               </w:t>
      </w:r>
    </w:p>
    <w:tbl>
      <w:tblPr>
        <w:tblStyle w:val="afc"/>
        <w:tblW w:w="10211" w:type="dxa"/>
        <w:tblInd w:w="-40" w:type="dxa"/>
        <w:tblBorders>
          <w:top w:val="nil"/>
          <w:left w:val="nil"/>
          <w:bottom w:val="nil"/>
          <w:right w:val="nil"/>
          <w:insideH w:val="nil"/>
          <w:insideV w:val="nil"/>
        </w:tblBorders>
        <w:tblLayout w:type="fixed"/>
        <w:tblLook w:val="0000" w:firstRow="0" w:lastRow="0" w:firstColumn="0" w:lastColumn="0" w:noHBand="0" w:noVBand="0"/>
      </w:tblPr>
      <w:tblGrid>
        <w:gridCol w:w="4001"/>
        <w:gridCol w:w="2670"/>
        <w:gridCol w:w="3540"/>
      </w:tblGrid>
      <w:tr w:rsidR="001444E1" w14:paraId="6E66D115" w14:textId="77777777" w:rsidTr="0048335A">
        <w:trPr>
          <w:trHeight w:val="915"/>
        </w:trPr>
        <w:tc>
          <w:tcPr>
            <w:tcW w:w="4001"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tcPr>
          <w:p w14:paraId="5D958AD1" w14:textId="77777777" w:rsidR="001444E1" w:rsidRDefault="001444E1">
            <w:pPr>
              <w:rPr>
                <w:b/>
                <w:sz w:val="28"/>
                <w:szCs w:val="28"/>
                <w:lang w:val="uk-UA"/>
              </w:rPr>
            </w:pPr>
          </w:p>
          <w:p w14:paraId="3BDD6C46" w14:textId="77777777" w:rsidR="0048335A" w:rsidRPr="0048335A" w:rsidRDefault="0048335A">
            <w:pPr>
              <w:rPr>
                <w:b/>
                <w:sz w:val="28"/>
                <w:szCs w:val="28"/>
                <w:lang w:val="uk-UA"/>
              </w:rPr>
            </w:pPr>
          </w:p>
          <w:p w14:paraId="4CFB5BDA" w14:textId="4875C734" w:rsidR="001444E1" w:rsidRPr="0048335A" w:rsidRDefault="00000000">
            <w:pPr>
              <w:rPr>
                <w:sz w:val="28"/>
                <w:szCs w:val="28"/>
                <w:lang w:val="uk-UA"/>
              </w:rPr>
            </w:pPr>
            <w:r>
              <w:rPr>
                <w:b/>
                <w:sz w:val="28"/>
                <w:szCs w:val="28"/>
              </w:rPr>
              <w:t>Голова</w:t>
            </w:r>
            <w:r w:rsidR="0048335A">
              <w:rPr>
                <w:b/>
                <w:sz w:val="28"/>
                <w:szCs w:val="28"/>
                <w:lang w:val="uk-UA"/>
              </w:rPr>
              <w:t>Державної служби України з питань безпечності харчових продуктів та захисту споживачів</w:t>
            </w:r>
          </w:p>
        </w:tc>
        <w:tc>
          <w:tcPr>
            <w:tcW w:w="2670" w:type="dxa"/>
            <w:tcBorders>
              <w:top w:val="single" w:sz="6" w:space="0" w:color="FFFFFF"/>
              <w:left w:val="nil"/>
              <w:bottom w:val="single" w:sz="6" w:space="0" w:color="FFFFFF"/>
              <w:right w:val="single" w:sz="6" w:space="0" w:color="FFFFFF"/>
            </w:tcBorders>
            <w:tcMar>
              <w:top w:w="40" w:type="dxa"/>
              <w:left w:w="40" w:type="dxa"/>
              <w:bottom w:w="40" w:type="dxa"/>
              <w:right w:w="40" w:type="dxa"/>
            </w:tcMar>
          </w:tcPr>
          <w:p w14:paraId="61FF918F" w14:textId="77777777" w:rsidR="001444E1" w:rsidRDefault="00000000">
            <w:pPr>
              <w:spacing w:line="276" w:lineRule="auto"/>
              <w:ind w:right="-281"/>
              <w:rPr>
                <w:sz w:val="28"/>
                <w:szCs w:val="28"/>
              </w:rPr>
            </w:pPr>
            <w:r>
              <w:rPr>
                <w:b/>
                <w:sz w:val="28"/>
                <w:szCs w:val="28"/>
              </w:rPr>
              <w:t xml:space="preserve"> </w:t>
            </w:r>
          </w:p>
          <w:p w14:paraId="24801336" w14:textId="77777777" w:rsidR="001444E1" w:rsidRDefault="00000000">
            <w:pPr>
              <w:spacing w:line="276" w:lineRule="auto"/>
              <w:ind w:right="-281"/>
              <w:rPr>
                <w:sz w:val="28"/>
                <w:szCs w:val="28"/>
              </w:rPr>
            </w:pPr>
            <w:r>
              <w:rPr>
                <w:sz w:val="28"/>
                <w:szCs w:val="28"/>
              </w:rPr>
              <w:t xml:space="preserve">                                          </w:t>
            </w:r>
          </w:p>
        </w:tc>
        <w:tc>
          <w:tcPr>
            <w:tcW w:w="3540" w:type="dxa"/>
            <w:tcBorders>
              <w:top w:val="single" w:sz="6" w:space="0" w:color="FFFFFF"/>
              <w:left w:val="nil"/>
              <w:bottom w:val="single" w:sz="6" w:space="0" w:color="FFFFFF"/>
              <w:right w:val="single" w:sz="6" w:space="0" w:color="FFFFFF"/>
            </w:tcBorders>
            <w:tcMar>
              <w:top w:w="40" w:type="dxa"/>
              <w:left w:w="40" w:type="dxa"/>
              <w:bottom w:w="40" w:type="dxa"/>
              <w:right w:w="40" w:type="dxa"/>
            </w:tcMar>
          </w:tcPr>
          <w:p w14:paraId="175FE7D3" w14:textId="77777777" w:rsidR="0048335A" w:rsidRDefault="00000000">
            <w:pPr>
              <w:spacing w:line="276" w:lineRule="auto"/>
              <w:ind w:right="-281"/>
              <w:rPr>
                <w:b/>
                <w:sz w:val="28"/>
                <w:szCs w:val="28"/>
                <w:lang w:val="uk-UA"/>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p>
          <w:p w14:paraId="1228AA64" w14:textId="77777777" w:rsidR="0048335A" w:rsidRDefault="0048335A">
            <w:pPr>
              <w:spacing w:line="276" w:lineRule="auto"/>
              <w:ind w:right="-281"/>
              <w:rPr>
                <w:b/>
                <w:sz w:val="28"/>
                <w:szCs w:val="28"/>
                <w:lang w:val="uk-UA"/>
              </w:rPr>
            </w:pPr>
          </w:p>
          <w:p w14:paraId="30A33AFB" w14:textId="77777777" w:rsidR="0048335A" w:rsidRDefault="0048335A">
            <w:pPr>
              <w:spacing w:line="276" w:lineRule="auto"/>
              <w:ind w:right="-281"/>
              <w:rPr>
                <w:b/>
                <w:sz w:val="28"/>
                <w:szCs w:val="28"/>
                <w:lang w:val="uk-UA"/>
              </w:rPr>
            </w:pPr>
          </w:p>
          <w:p w14:paraId="6E0B0AC2" w14:textId="77777777" w:rsidR="0048335A" w:rsidRDefault="0048335A">
            <w:pPr>
              <w:spacing w:line="276" w:lineRule="auto"/>
              <w:ind w:right="-281"/>
              <w:rPr>
                <w:b/>
                <w:sz w:val="28"/>
                <w:szCs w:val="28"/>
                <w:lang w:val="uk-UA"/>
              </w:rPr>
            </w:pPr>
          </w:p>
          <w:p w14:paraId="606DC68C" w14:textId="38429B78" w:rsidR="001444E1" w:rsidRDefault="0048335A">
            <w:pPr>
              <w:spacing w:line="276" w:lineRule="auto"/>
              <w:ind w:right="-281"/>
              <w:rPr>
                <w:b/>
                <w:sz w:val="28"/>
                <w:szCs w:val="28"/>
              </w:rPr>
            </w:pPr>
            <w:r>
              <w:rPr>
                <w:b/>
                <w:sz w:val="28"/>
                <w:szCs w:val="28"/>
                <w:lang w:val="uk-UA"/>
              </w:rPr>
              <w:t xml:space="preserve">               </w:t>
            </w:r>
            <w:r w:rsidR="00000000">
              <w:rPr>
                <w:b/>
                <w:sz w:val="28"/>
                <w:szCs w:val="28"/>
              </w:rPr>
              <w:t>Сергій ТКАЧУК</w:t>
            </w:r>
          </w:p>
        </w:tc>
      </w:tr>
    </w:tbl>
    <w:p w14:paraId="797005DE" w14:textId="77777777" w:rsidR="001444E1" w:rsidRDefault="001444E1">
      <w:pPr>
        <w:spacing w:line="257" w:lineRule="auto"/>
        <w:rPr>
          <w:b/>
          <w:sz w:val="26"/>
          <w:szCs w:val="26"/>
        </w:rPr>
      </w:pPr>
    </w:p>
    <w:p w14:paraId="599DFD93" w14:textId="77777777" w:rsidR="001444E1" w:rsidRDefault="001444E1">
      <w:pPr>
        <w:pBdr>
          <w:top w:val="nil"/>
          <w:left w:val="nil"/>
          <w:bottom w:val="nil"/>
          <w:right w:val="nil"/>
          <w:between w:val="nil"/>
        </w:pBdr>
        <w:ind w:firstLine="567"/>
        <w:jc w:val="both"/>
        <w:rPr>
          <w:color w:val="000000"/>
          <w:sz w:val="26"/>
          <w:szCs w:val="26"/>
        </w:rPr>
      </w:pPr>
    </w:p>
    <w:p w14:paraId="1D15C7D9" w14:textId="77777777" w:rsidR="001444E1" w:rsidRDefault="00000000">
      <w:pPr>
        <w:pBdr>
          <w:top w:val="nil"/>
          <w:left w:val="nil"/>
          <w:bottom w:val="nil"/>
          <w:right w:val="nil"/>
          <w:between w:val="nil"/>
        </w:pBdr>
        <w:jc w:val="both"/>
        <w:rPr>
          <w:b/>
          <w:color w:val="000000"/>
          <w:sz w:val="26"/>
          <w:szCs w:val="26"/>
        </w:rPr>
      </w:pPr>
      <w:r>
        <w:rPr>
          <w:color w:val="000000"/>
          <w:sz w:val="26"/>
          <w:szCs w:val="26"/>
        </w:rPr>
        <w:t xml:space="preserve">«___» </w:t>
      </w:r>
      <w:r>
        <w:rPr>
          <w:color w:val="000000"/>
          <w:sz w:val="26"/>
          <w:szCs w:val="26"/>
        </w:rPr>
        <w:tab/>
        <w:t>____________ 2025 р.</w:t>
      </w:r>
    </w:p>
    <w:p w14:paraId="67A08255" w14:textId="77777777" w:rsidR="001444E1" w:rsidRDefault="001444E1">
      <w:pPr>
        <w:rPr>
          <w:sz w:val="26"/>
          <w:szCs w:val="26"/>
        </w:rPr>
      </w:pPr>
    </w:p>
    <w:p w14:paraId="13B4E10E" w14:textId="77777777" w:rsidR="001444E1" w:rsidRDefault="001444E1">
      <w:pPr>
        <w:rPr>
          <w:b/>
          <w:sz w:val="28"/>
          <w:szCs w:val="28"/>
        </w:rPr>
      </w:pPr>
    </w:p>
    <w:sectPr w:rsidR="001444E1">
      <w:pgSz w:w="11906" w:h="16838"/>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8770" w14:textId="77777777" w:rsidR="008E2766" w:rsidRDefault="008E2766">
      <w:r>
        <w:separator/>
      </w:r>
    </w:p>
  </w:endnote>
  <w:endnote w:type="continuationSeparator" w:id="0">
    <w:p w14:paraId="1270281A" w14:textId="77777777" w:rsidR="008E2766" w:rsidRDefault="008E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48D4" w14:textId="77777777" w:rsidR="001444E1" w:rsidRDefault="001444E1">
    <w:pPr>
      <w:pBdr>
        <w:top w:val="nil"/>
        <w:left w:val="nil"/>
        <w:bottom w:val="nil"/>
        <w:right w:val="nil"/>
        <w:between w:val="nil"/>
      </w:pBdr>
      <w:tabs>
        <w:tab w:val="center" w:pos="4819"/>
        <w:tab w:val="right" w:pos="9639"/>
      </w:tabs>
      <w:rPr>
        <w:color w:val="000000"/>
      </w:rPr>
    </w:pPr>
  </w:p>
  <w:p w14:paraId="33E1B7B8" w14:textId="77777777" w:rsidR="001444E1" w:rsidRDefault="001444E1">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57D4" w14:textId="77777777" w:rsidR="008E2766" w:rsidRDefault="008E2766">
      <w:r>
        <w:separator/>
      </w:r>
    </w:p>
  </w:footnote>
  <w:footnote w:type="continuationSeparator" w:id="0">
    <w:p w14:paraId="5A125F6A" w14:textId="77777777" w:rsidR="008E2766" w:rsidRDefault="008E2766">
      <w:r>
        <w:continuationSeparator/>
      </w:r>
    </w:p>
  </w:footnote>
  <w:footnote w:id="1">
    <w:p w14:paraId="4D3AECFE" w14:textId="77777777" w:rsidR="001444E1" w:rsidRDefault="0000000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За даними проведеного аудиту інформаційно-комунікаційних систем та реєстрів Держпродспоживслужби їх загальна кількість більше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15C5E" w14:textId="77777777" w:rsidR="001444E1" w:rsidRDefault="0000000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35158EA" w14:textId="77777777" w:rsidR="001444E1" w:rsidRDefault="001444E1">
    <w:pPr>
      <w:pBdr>
        <w:top w:val="nil"/>
        <w:left w:val="nil"/>
        <w:bottom w:val="nil"/>
        <w:right w:val="nil"/>
        <w:between w:val="nil"/>
      </w:pBdr>
      <w:tabs>
        <w:tab w:val="center" w:pos="4819"/>
        <w:tab w:val="right" w:pos="963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9A00" w14:textId="77777777" w:rsidR="001444E1" w:rsidRDefault="0000000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CEFD73B" w14:textId="77777777" w:rsidR="001444E1" w:rsidRDefault="001444E1">
    <w:pPr>
      <w:pBdr>
        <w:top w:val="nil"/>
        <w:left w:val="nil"/>
        <w:bottom w:val="nil"/>
        <w:right w:val="nil"/>
        <w:between w:val="nil"/>
      </w:pBdr>
      <w:tabs>
        <w:tab w:val="center" w:pos="4819"/>
        <w:tab w:val="right" w:pos="9639"/>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3310" w14:textId="77777777" w:rsidR="001444E1" w:rsidRDefault="00000000">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48335A">
      <w:rPr>
        <w:noProof/>
        <w:color w:val="000000"/>
      </w:rPr>
      <w:t>2</w:t>
    </w:r>
    <w:r>
      <w:rPr>
        <w:color w:val="000000"/>
      </w:rPr>
      <w:fldChar w:fldCharType="end"/>
    </w:r>
  </w:p>
  <w:p w14:paraId="19A0CD9F" w14:textId="77777777" w:rsidR="001444E1" w:rsidRDefault="001444E1">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528EB"/>
    <w:multiLevelType w:val="multilevel"/>
    <w:tmpl w:val="1EF4D46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7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E1"/>
    <w:rsid w:val="001444E1"/>
    <w:rsid w:val="0048335A"/>
    <w:rsid w:val="008E2766"/>
    <w:rsid w:val="00A30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14A2"/>
  <w15:docId w15:val="{A51F973D-FFA3-47CC-B6F5-0C54F376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40"/>
      <w:outlineLvl w:val="1"/>
    </w:pPr>
    <w:rPr>
      <w:rFonts w:ascii="Calibri" w:eastAsia="Calibri" w:hAnsi="Calibri" w:cs="Calibri"/>
      <w:color w:val="2E75B5"/>
      <w:sz w:val="26"/>
      <w:szCs w:val="26"/>
    </w:rPr>
  </w:style>
  <w:style w:type="paragraph" w:styleId="3">
    <w:name w:val="heading 3"/>
    <w:basedOn w:val="a"/>
    <w:next w:val="a"/>
    <w:uiPriority w:val="9"/>
    <w:semiHidden/>
    <w:unhideWhenUsed/>
    <w:qFormat/>
    <w:pPr>
      <w:keepNext/>
      <w:jc w:val="right"/>
      <w:outlineLvl w:val="2"/>
    </w:pPr>
    <w:rPr>
      <w:b/>
      <w:sz w:val="20"/>
      <w:szCs w:val="20"/>
      <w:u w:val="single"/>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rvps6">
    <w:name w:val="rvps6"/>
    <w:rsid w:val="00301DF9"/>
    <w:pPr>
      <w:spacing w:before="100" w:beforeAutospacing="1" w:after="100" w:afterAutospacing="1"/>
    </w:pPr>
    <w:rPr>
      <w:lang w:val="uk-UA"/>
    </w:rPr>
  </w:style>
  <w:style w:type="character" w:customStyle="1" w:styleId="rvts0">
    <w:name w:val="rvts0"/>
    <w:rsid w:val="00301DF9"/>
  </w:style>
  <w:style w:type="paragraph" w:styleId="a4">
    <w:name w:val="Normal (Web)"/>
    <w:uiPriority w:val="99"/>
    <w:rsid w:val="00E1651D"/>
    <w:pPr>
      <w:spacing w:before="100" w:beforeAutospacing="1" w:after="100" w:afterAutospacing="1"/>
    </w:pPr>
    <w:rPr>
      <w:lang w:val="uk-UA"/>
    </w:rPr>
  </w:style>
  <w:style w:type="paragraph" w:styleId="a5">
    <w:name w:val="header"/>
    <w:link w:val="a6"/>
    <w:uiPriority w:val="99"/>
    <w:unhideWhenUsed/>
    <w:rsid w:val="00230FD9"/>
    <w:pPr>
      <w:tabs>
        <w:tab w:val="center" w:pos="4819"/>
        <w:tab w:val="right" w:pos="9639"/>
      </w:tabs>
    </w:pPr>
  </w:style>
  <w:style w:type="character" w:customStyle="1" w:styleId="a6">
    <w:name w:val="Верхній колонтитул Знак"/>
    <w:basedOn w:val="a0"/>
    <w:link w:val="a5"/>
    <w:uiPriority w:val="99"/>
    <w:rsid w:val="00230FD9"/>
    <w:rPr>
      <w:rFonts w:ascii="Times New Roman" w:eastAsia="Times New Roman" w:hAnsi="Times New Roman" w:cs="Times New Roman"/>
      <w:sz w:val="24"/>
      <w:szCs w:val="24"/>
      <w:lang w:val="ru-RU" w:eastAsia="ru-RU"/>
    </w:rPr>
  </w:style>
  <w:style w:type="paragraph" w:styleId="a7">
    <w:name w:val="footer"/>
    <w:link w:val="a8"/>
    <w:uiPriority w:val="99"/>
    <w:unhideWhenUsed/>
    <w:rsid w:val="00230FD9"/>
    <w:pPr>
      <w:tabs>
        <w:tab w:val="center" w:pos="4819"/>
        <w:tab w:val="right" w:pos="9639"/>
      </w:tabs>
    </w:pPr>
  </w:style>
  <w:style w:type="character" w:customStyle="1" w:styleId="a8">
    <w:name w:val="Нижній колонтитул Знак"/>
    <w:basedOn w:val="a0"/>
    <w:link w:val="a7"/>
    <w:uiPriority w:val="99"/>
    <w:rsid w:val="00230FD9"/>
    <w:rPr>
      <w:rFonts w:ascii="Times New Roman" w:eastAsia="Times New Roman" w:hAnsi="Times New Roman" w:cs="Times New Roman"/>
      <w:sz w:val="24"/>
      <w:szCs w:val="24"/>
      <w:lang w:val="ru-RU" w:eastAsia="ru-RU"/>
    </w:rPr>
  </w:style>
  <w:style w:type="paragraph" w:styleId="a9">
    <w:name w:val="Balloon Text"/>
    <w:link w:val="aa"/>
    <w:uiPriority w:val="99"/>
    <w:semiHidden/>
    <w:unhideWhenUsed/>
    <w:rsid w:val="00230FD9"/>
    <w:rPr>
      <w:rFonts w:ascii="Tahoma" w:hAnsi="Tahoma" w:cs="Tahoma"/>
      <w:sz w:val="16"/>
      <w:szCs w:val="16"/>
    </w:rPr>
  </w:style>
  <w:style w:type="character" w:customStyle="1" w:styleId="aa">
    <w:name w:val="Текст у виносці Знак"/>
    <w:basedOn w:val="a0"/>
    <w:link w:val="a9"/>
    <w:uiPriority w:val="99"/>
    <w:semiHidden/>
    <w:rsid w:val="00230FD9"/>
    <w:rPr>
      <w:rFonts w:ascii="Tahoma" w:eastAsia="Times New Roman" w:hAnsi="Tahoma" w:cs="Tahoma"/>
      <w:sz w:val="16"/>
      <w:szCs w:val="16"/>
      <w:lang w:val="ru-RU" w:eastAsia="ru-RU"/>
    </w:rPr>
  </w:style>
  <w:style w:type="paragraph" w:styleId="ab">
    <w:name w:val="List Paragraph"/>
    <w:uiPriority w:val="34"/>
    <w:qFormat/>
    <w:rsid w:val="001A4935"/>
    <w:pPr>
      <w:spacing w:after="160" w:line="259" w:lineRule="auto"/>
      <w:ind w:left="720"/>
      <w:contextualSpacing/>
    </w:pPr>
    <w:rPr>
      <w:rFonts w:asciiTheme="minorHAnsi" w:eastAsiaTheme="minorHAnsi" w:hAnsiTheme="minorHAnsi" w:cstheme="minorBidi"/>
      <w:sz w:val="22"/>
      <w:szCs w:val="22"/>
      <w:lang w:val="uk-UA" w:eastAsia="en-US"/>
    </w:rPr>
  </w:style>
  <w:style w:type="paragraph" w:customStyle="1" w:styleId="rvps8">
    <w:name w:val="rvps8"/>
    <w:rsid w:val="00CD1C0C"/>
    <w:pPr>
      <w:spacing w:before="100" w:beforeAutospacing="1" w:after="100" w:afterAutospacing="1"/>
    </w:pPr>
    <w:rPr>
      <w:lang w:val="en-GB" w:eastAsia="en-GB"/>
    </w:rPr>
  </w:style>
  <w:style w:type="character" w:styleId="ac">
    <w:name w:val="Hyperlink"/>
    <w:basedOn w:val="a0"/>
    <w:uiPriority w:val="99"/>
    <w:unhideWhenUsed/>
    <w:rsid w:val="00CD1C0C"/>
    <w:rPr>
      <w:color w:val="0000FF"/>
      <w:u w:val="single"/>
    </w:rPr>
  </w:style>
  <w:style w:type="character" w:customStyle="1" w:styleId="tw4winMark">
    <w:name w:val="tw4winMark"/>
    <w:rsid w:val="00DE6F74"/>
    <w:rPr>
      <w:rFonts w:ascii="Courier New" w:hAnsi="Courier New"/>
      <w:vanish/>
      <w:color w:val="800080"/>
      <w:vertAlign w:val="subscript"/>
    </w:rPr>
  </w:style>
  <w:style w:type="paragraph" w:styleId="ad">
    <w:name w:val="footnote text"/>
    <w:link w:val="ae"/>
    <w:uiPriority w:val="99"/>
    <w:rsid w:val="00DE6F74"/>
    <w:rPr>
      <w:sz w:val="20"/>
      <w:szCs w:val="20"/>
      <w:lang w:val="uk-UA"/>
    </w:rPr>
  </w:style>
  <w:style w:type="character" w:customStyle="1" w:styleId="ae">
    <w:name w:val="Текст виноски Знак"/>
    <w:basedOn w:val="a0"/>
    <w:link w:val="ad"/>
    <w:uiPriority w:val="99"/>
    <w:rsid w:val="00DE6F74"/>
    <w:rPr>
      <w:rFonts w:ascii="Times New Roman" w:eastAsia="Times New Roman" w:hAnsi="Times New Roman" w:cs="Times New Roman"/>
      <w:sz w:val="20"/>
      <w:szCs w:val="20"/>
      <w:lang w:val="uk-UA" w:eastAsia="uk-UA"/>
    </w:rPr>
  </w:style>
  <w:style w:type="character" w:styleId="af">
    <w:name w:val="footnote reference"/>
    <w:uiPriority w:val="99"/>
    <w:semiHidden/>
    <w:rsid w:val="00DE6F74"/>
    <w:rPr>
      <w:vertAlign w:val="superscript"/>
    </w:rPr>
  </w:style>
  <w:style w:type="paragraph" w:styleId="af0">
    <w:name w:val="No Spacing"/>
    <w:uiPriority w:val="1"/>
    <w:qFormat/>
    <w:rsid w:val="00BC2637"/>
    <w:rPr>
      <w:lang w:val="ru-RU" w:eastAsia="ru-RU"/>
    </w:rPr>
  </w:style>
  <w:style w:type="paragraph" w:styleId="20">
    <w:name w:val="Body Text 2"/>
    <w:link w:val="21"/>
    <w:rsid w:val="00A73CD1"/>
    <w:pPr>
      <w:spacing w:after="120" w:line="480" w:lineRule="auto"/>
    </w:pPr>
  </w:style>
  <w:style w:type="character" w:customStyle="1" w:styleId="21">
    <w:name w:val="Основний текст 2 Знак"/>
    <w:basedOn w:val="a0"/>
    <w:link w:val="20"/>
    <w:rsid w:val="00A73CD1"/>
    <w:rPr>
      <w:rFonts w:ascii="Times New Roman" w:eastAsia="Times New Roman" w:hAnsi="Times New Roman" w:cs="Times New Roman"/>
      <w:sz w:val="24"/>
      <w:szCs w:val="24"/>
      <w:lang w:val="ru-RU" w:eastAsia="ru-RU"/>
    </w:rPr>
  </w:style>
  <w:style w:type="character" w:customStyle="1" w:styleId="rvts23">
    <w:name w:val="rvts23"/>
    <w:basedOn w:val="a0"/>
    <w:rsid w:val="00A73CD1"/>
  </w:style>
  <w:style w:type="paragraph" w:customStyle="1" w:styleId="rvps7">
    <w:name w:val="rvps7"/>
    <w:rsid w:val="00A73CD1"/>
    <w:pPr>
      <w:spacing w:before="100" w:beforeAutospacing="1" w:after="100" w:afterAutospacing="1"/>
    </w:pPr>
  </w:style>
  <w:style w:type="character" w:customStyle="1" w:styleId="rvts15">
    <w:name w:val="rvts15"/>
    <w:basedOn w:val="a0"/>
    <w:rsid w:val="00A73CD1"/>
  </w:style>
  <w:style w:type="paragraph" w:styleId="HTML">
    <w:name w:val="HTML Preformatted"/>
    <w:link w:val="HTML0"/>
    <w:rsid w:val="00A7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A73CD1"/>
    <w:rPr>
      <w:rFonts w:ascii="Courier New" w:eastAsia="Times New Roman" w:hAnsi="Courier New" w:cs="Courier New"/>
      <w:sz w:val="20"/>
      <w:szCs w:val="20"/>
      <w:lang w:val="ru-RU" w:eastAsia="ru-RU"/>
    </w:rPr>
  </w:style>
  <w:style w:type="character" w:customStyle="1" w:styleId="m-372660724197887166gmail-rvts0">
    <w:name w:val="m_-372660724197887166gmail-rvts0"/>
    <w:basedOn w:val="a0"/>
    <w:rsid w:val="00EF3BAA"/>
  </w:style>
  <w:style w:type="paragraph" w:customStyle="1" w:styleId="norm">
    <w:name w:val="norm"/>
    <w:rsid w:val="0060156C"/>
    <w:pPr>
      <w:spacing w:before="100" w:beforeAutospacing="1" w:after="100" w:afterAutospacing="1"/>
    </w:pPr>
  </w:style>
  <w:style w:type="character" w:customStyle="1" w:styleId="apple-converted-space">
    <w:name w:val="apple-converted-space"/>
    <w:basedOn w:val="a0"/>
    <w:rsid w:val="00567AEF"/>
  </w:style>
  <w:style w:type="character" w:styleId="af1">
    <w:name w:val="annotation reference"/>
    <w:uiPriority w:val="99"/>
    <w:semiHidden/>
    <w:unhideWhenUsed/>
    <w:rsid w:val="0055756E"/>
    <w:rPr>
      <w:rFonts w:cs="Times New Roman"/>
      <w:sz w:val="16"/>
      <w:szCs w:val="16"/>
    </w:rPr>
  </w:style>
  <w:style w:type="paragraph" w:styleId="af2">
    <w:name w:val="annotation text"/>
    <w:link w:val="af3"/>
    <w:uiPriority w:val="99"/>
    <w:unhideWhenUsed/>
    <w:rsid w:val="008A26D5"/>
    <w:pPr>
      <w:spacing w:after="160"/>
    </w:pPr>
    <w:rPr>
      <w:rFonts w:ascii="Calibri" w:hAnsi="Calibri"/>
      <w:sz w:val="20"/>
      <w:szCs w:val="20"/>
      <w:lang w:val="en-US" w:eastAsia="en-US"/>
    </w:rPr>
  </w:style>
  <w:style w:type="character" w:customStyle="1" w:styleId="af3">
    <w:name w:val="Текст примітки Знак"/>
    <w:basedOn w:val="a0"/>
    <w:link w:val="af2"/>
    <w:uiPriority w:val="99"/>
    <w:rsid w:val="008A26D5"/>
    <w:rPr>
      <w:rFonts w:ascii="Calibri" w:eastAsia="Times New Roman" w:hAnsi="Calibri" w:cs="Times New Roman"/>
      <w:sz w:val="20"/>
      <w:szCs w:val="20"/>
      <w:lang w:val="en-US"/>
    </w:rPr>
  </w:style>
  <w:style w:type="table" w:styleId="af4">
    <w:name w:val="Table Grid"/>
    <w:basedOn w:val="a1"/>
    <w:uiPriority w:val="39"/>
    <w:rsid w:val="00F0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gr-seq-level-2">
    <w:name w:val="title-gr-seq-level-2"/>
    <w:rsid w:val="005A4C7E"/>
    <w:pPr>
      <w:spacing w:before="100" w:beforeAutospacing="1" w:after="100" w:afterAutospacing="1"/>
    </w:pPr>
  </w:style>
  <w:style w:type="character" w:customStyle="1" w:styleId="boldface">
    <w:name w:val="boldface"/>
    <w:basedOn w:val="a0"/>
    <w:rsid w:val="005A4C7E"/>
  </w:style>
  <w:style w:type="character" w:customStyle="1" w:styleId="30">
    <w:name w:val="Заголовок 3 Знак"/>
    <w:basedOn w:val="a0"/>
    <w:uiPriority w:val="9"/>
    <w:rsid w:val="00F6113B"/>
    <w:rPr>
      <w:rFonts w:ascii="Times New Roman" w:eastAsia="Times New Roman" w:hAnsi="Times New Roman" w:cs="Times New Roman"/>
      <w:b/>
      <w:sz w:val="20"/>
      <w:szCs w:val="20"/>
      <w:u w:val="single"/>
      <w:lang w:val="uk-UA" w:eastAsia="ru-RU"/>
    </w:rPr>
  </w:style>
  <w:style w:type="character" w:customStyle="1" w:styleId="22">
    <w:name w:val="Заголовок 2 Знак"/>
    <w:basedOn w:val="a0"/>
    <w:uiPriority w:val="9"/>
    <w:semiHidden/>
    <w:rsid w:val="008907C0"/>
    <w:rPr>
      <w:rFonts w:asciiTheme="majorHAnsi" w:eastAsiaTheme="majorEastAsia" w:hAnsiTheme="majorHAnsi" w:cstheme="majorBidi"/>
      <w:color w:val="2E74B5" w:themeColor="accent1" w:themeShade="BF"/>
      <w:sz w:val="26"/>
      <w:szCs w:val="26"/>
      <w:lang w:val="ru-RU" w:eastAsia="ru-RU"/>
    </w:rPr>
  </w:style>
  <w:style w:type="character" w:styleId="af5">
    <w:name w:val="page number"/>
    <w:basedOn w:val="a0"/>
    <w:uiPriority w:val="99"/>
    <w:semiHidden/>
    <w:unhideWhenUsed/>
    <w:rsid w:val="00E325FD"/>
  </w:style>
  <w:style w:type="paragraph" w:customStyle="1" w:styleId="rvps2">
    <w:name w:val="rvps2"/>
    <w:rsid w:val="00EB5DDA"/>
    <w:pPr>
      <w:spacing w:before="100" w:beforeAutospacing="1" w:after="100" w:afterAutospacing="1"/>
    </w:pPr>
  </w:style>
  <w:style w:type="paragraph" w:styleId="af6">
    <w:name w:val="Body Text"/>
    <w:link w:val="af7"/>
    <w:uiPriority w:val="99"/>
    <w:unhideWhenUsed/>
    <w:rsid w:val="00E065A9"/>
    <w:pPr>
      <w:spacing w:after="120"/>
    </w:pPr>
  </w:style>
  <w:style w:type="character" w:customStyle="1" w:styleId="af7">
    <w:name w:val="Основний текст Знак"/>
    <w:basedOn w:val="a0"/>
    <w:link w:val="af6"/>
    <w:uiPriority w:val="99"/>
    <w:rsid w:val="00E065A9"/>
    <w:rPr>
      <w:rFonts w:ascii="Times New Roman" w:eastAsia="Times New Roman" w:hAnsi="Times New Roman" w:cs="Times New Roman"/>
      <w:sz w:val="24"/>
      <w:szCs w:val="24"/>
      <w:lang w:val="ru-RU" w:eastAsia="ru-RU"/>
    </w:rPr>
  </w:style>
  <w:style w:type="character" w:customStyle="1" w:styleId="10">
    <w:name w:val="Незакрита згадка1"/>
    <w:basedOn w:val="a0"/>
    <w:uiPriority w:val="99"/>
    <w:semiHidden/>
    <w:unhideWhenUsed/>
    <w:rsid w:val="00343A85"/>
    <w:rPr>
      <w:color w:val="605E5C"/>
      <w:shd w:val="clear" w:color="auto" w:fill="E1DFDD"/>
    </w:rPr>
  </w:style>
  <w:style w:type="character" w:styleId="af8">
    <w:name w:val="FollowedHyperlink"/>
    <w:basedOn w:val="a0"/>
    <w:uiPriority w:val="99"/>
    <w:semiHidden/>
    <w:unhideWhenUsed/>
    <w:rsid w:val="000A478F"/>
    <w:rPr>
      <w:color w:val="954F72" w:themeColor="followedHyperlink"/>
      <w:u w:val="single"/>
    </w:rPr>
  </w:style>
  <w:style w:type="paragraph" w:customStyle="1" w:styleId="oj-ti-art">
    <w:name w:val="oj-ti-art"/>
    <w:rsid w:val="005C03D4"/>
    <w:pPr>
      <w:spacing w:before="100" w:beforeAutospacing="1" w:after="100" w:afterAutospacing="1"/>
    </w:pPr>
    <w:rPr>
      <w:lang w:val="uk-UA"/>
    </w:rPr>
  </w:style>
  <w:style w:type="paragraph" w:customStyle="1" w:styleId="oj-normal">
    <w:name w:val="oj-normal"/>
    <w:rsid w:val="005C03D4"/>
    <w:pPr>
      <w:spacing w:before="100" w:beforeAutospacing="1" w:after="100" w:afterAutospacing="1"/>
    </w:pPr>
    <w:rPr>
      <w:lang w:val="uk-UA"/>
    </w:rPr>
  </w:style>
  <w:style w:type="paragraph" w:customStyle="1" w:styleId="oj-ti-grseq-1">
    <w:name w:val="oj-ti-grseq-1"/>
    <w:rsid w:val="00D821B7"/>
    <w:pPr>
      <w:spacing w:before="100" w:beforeAutospacing="1" w:after="100" w:afterAutospacing="1"/>
    </w:pPr>
    <w:rPr>
      <w:lang w:val="uk-UA"/>
    </w:rPr>
  </w:style>
  <w:style w:type="character" w:customStyle="1" w:styleId="oj-bold">
    <w:name w:val="oj-bold"/>
    <w:basedOn w:val="a0"/>
    <w:rsid w:val="00D821B7"/>
  </w:style>
  <w:style w:type="numbering" w:customStyle="1" w:styleId="11">
    <w:name w:val="Немає списку1"/>
    <w:next w:val="a2"/>
    <w:uiPriority w:val="99"/>
    <w:semiHidden/>
    <w:unhideWhenUsed/>
    <w:rsid w:val="00CC609F"/>
  </w:style>
  <w:style w:type="paragraph" w:customStyle="1" w:styleId="rvps4">
    <w:name w:val="rvps4"/>
    <w:rsid w:val="00CC609F"/>
    <w:pPr>
      <w:spacing w:before="100" w:beforeAutospacing="1" w:after="100" w:afterAutospacing="1"/>
    </w:pPr>
    <w:rPr>
      <w:lang w:val="uk-UA"/>
    </w:rPr>
  </w:style>
  <w:style w:type="character" w:customStyle="1" w:styleId="rvts44">
    <w:name w:val="rvts44"/>
    <w:basedOn w:val="a0"/>
    <w:rsid w:val="00CC609F"/>
  </w:style>
  <w:style w:type="paragraph" w:customStyle="1" w:styleId="rvps15">
    <w:name w:val="rvps15"/>
    <w:rsid w:val="00CC609F"/>
    <w:pPr>
      <w:spacing w:before="100" w:beforeAutospacing="1" w:after="100" w:afterAutospacing="1"/>
    </w:pPr>
    <w:rPr>
      <w:lang w:val="uk-UA"/>
    </w:rPr>
  </w:style>
  <w:style w:type="paragraph" w:customStyle="1" w:styleId="rvps14">
    <w:name w:val="rvps14"/>
    <w:rsid w:val="00CC609F"/>
    <w:pPr>
      <w:spacing w:before="100" w:beforeAutospacing="1" w:after="100" w:afterAutospacing="1"/>
    </w:pPr>
    <w:rPr>
      <w:lang w:val="uk-UA"/>
    </w:rPr>
  </w:style>
  <w:style w:type="paragraph" w:customStyle="1" w:styleId="rvps12">
    <w:name w:val="rvps12"/>
    <w:rsid w:val="00CC609F"/>
    <w:pPr>
      <w:spacing w:before="100" w:beforeAutospacing="1" w:after="100" w:afterAutospacing="1"/>
    </w:pPr>
    <w:rPr>
      <w:lang w:val="uk-UA"/>
    </w:rPr>
  </w:style>
  <w:style w:type="character" w:customStyle="1" w:styleId="rvts80">
    <w:name w:val="rvts80"/>
    <w:basedOn w:val="a0"/>
    <w:rsid w:val="00CC609F"/>
  </w:style>
  <w:style w:type="table" w:customStyle="1" w:styleId="12">
    <w:name w:val="Сітка таблиці1"/>
    <w:basedOn w:val="a1"/>
    <w:next w:val="af4"/>
    <w:uiPriority w:val="39"/>
    <w:rsid w:val="00CC609F"/>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иноски Знак1"/>
    <w:basedOn w:val="a0"/>
    <w:uiPriority w:val="99"/>
    <w:semiHidden/>
    <w:rsid w:val="00CC609F"/>
    <w:rPr>
      <w:sz w:val="20"/>
      <w:szCs w:val="20"/>
    </w:rPr>
  </w:style>
  <w:style w:type="character" w:customStyle="1" w:styleId="oj-italic">
    <w:name w:val="oj-italic"/>
    <w:basedOn w:val="a0"/>
    <w:rsid w:val="00832B4E"/>
  </w:style>
  <w:style w:type="paragraph" w:customStyle="1" w:styleId="oj-ti-tbl">
    <w:name w:val="oj-ti-tbl"/>
    <w:rsid w:val="00832B4E"/>
    <w:pPr>
      <w:spacing w:before="100" w:beforeAutospacing="1" w:after="100" w:afterAutospacing="1"/>
    </w:pPr>
    <w:rPr>
      <w:lang w:val="uk-UA"/>
    </w:rPr>
  </w:style>
  <w:style w:type="character" w:styleId="af9">
    <w:name w:val="Strong"/>
    <w:uiPriority w:val="22"/>
    <w:qFormat/>
    <w:rsid w:val="00FB5665"/>
    <w:rPr>
      <w:b/>
      <w:bCs/>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6ddW/e0fwt3tgteBlvAKfUQA==">CgMxLjAyD2lkLm44bHZxMnkzZTF0YTIPaWQucXZmaDcyd2Ntd3R3MgppZC4yZXQ5MnAwMglpZC50eWpjd3QyD2lkLnRibXhsdTMwa3RzNzIOaWQucXU1enNrZnNpaG0yD2lkLjVlOHhlOXZrM3lvbjIOaC5yeGswa3hpajM0MHEyD2lkLmk1NGxjcnUwbWF4ZTIPaWQud3h3OHMzazN1ajRuOAByITFwN09ramJsVmJ1V25NaVM5MDJjVi1IajRIY2ozSFVPeQ==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7459</Words>
  <Characters>4253</Characters>
  <Application>Microsoft Office Word</Application>
  <DocSecurity>0</DocSecurity>
  <Lines>35</Lines>
  <Paragraphs>23</Paragraphs>
  <ScaleCrop>false</ScaleCrop>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ЩИРОВА Наталія Сергіївна</dc:creator>
  <cp:lastModifiedBy>Oleksiy Ovsiannykov</cp:lastModifiedBy>
  <cp:revision>2</cp:revision>
  <dcterms:created xsi:type="dcterms:W3CDTF">2025-04-30T13:57:00Z</dcterms:created>
  <dcterms:modified xsi:type="dcterms:W3CDTF">2025-08-05T11:59:00Z</dcterms:modified>
</cp:coreProperties>
</file>