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51EB" w14:textId="77777777" w:rsidR="00897BE0" w:rsidRDefault="00000000">
      <w:pPr>
        <w:pBdr>
          <w:top w:val="nil"/>
          <w:left w:val="nil"/>
          <w:bottom w:val="nil"/>
          <w:right w:val="nil"/>
          <w:between w:val="nil"/>
        </w:pBdr>
        <w:shd w:val="clear" w:color="auto" w:fill="FFFFFF"/>
        <w:spacing w:line="240" w:lineRule="auto"/>
        <w:ind w:left="1" w:right="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ПОЯСНЮВАЛЬНА ЗАПИСКА</w:t>
      </w:r>
    </w:p>
    <w:p w14:paraId="6CFA8986" w14:textId="77777777" w:rsidR="00897BE0" w:rsidRDefault="00000000">
      <w:pPr>
        <w:pBdr>
          <w:top w:val="nil"/>
          <w:left w:val="nil"/>
          <w:bottom w:val="nil"/>
          <w:right w:val="nil"/>
          <w:between w:val="nil"/>
        </w:pBdr>
        <w:shd w:val="clear" w:color="auto" w:fill="FFFFFF"/>
        <w:spacing w:line="240" w:lineRule="auto"/>
        <w:ind w:left="1" w:right="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 проекту постанови Кабінету Міністрів України </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Про реалізацію експериментального проекту щодо цифровізації послуг Державної служби з питань безпечності харчових продуктів та захисту споживачів</w:t>
      </w:r>
      <w:r>
        <w:rPr>
          <w:rFonts w:ascii="Times New Roman" w:eastAsia="Times New Roman" w:hAnsi="Times New Roman" w:cs="Times New Roman"/>
          <w:b/>
          <w:sz w:val="28"/>
          <w:szCs w:val="28"/>
        </w:rPr>
        <w:t>”</w:t>
      </w:r>
    </w:p>
    <w:p w14:paraId="627ABBC2" w14:textId="7FE75E97" w:rsidR="00897BE0" w:rsidRDefault="00000000">
      <w:pPr>
        <w:pBdr>
          <w:top w:val="nil"/>
          <w:left w:val="nil"/>
          <w:bottom w:val="nil"/>
          <w:right w:val="nil"/>
          <w:between w:val="nil"/>
        </w:pBdr>
        <w:shd w:val="clear" w:color="auto" w:fill="FFFFFF"/>
        <w:spacing w:line="240" w:lineRule="auto"/>
        <w:ind w:left="1" w:right="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 </w:t>
      </w:r>
      <w:r w:rsidR="006107E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ро</w:t>
      </w:r>
      <w:r w:rsidR="006107ED">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кт постанови)</w:t>
      </w:r>
    </w:p>
    <w:p w14:paraId="1981F8D7" w14:textId="77777777" w:rsidR="00897BE0" w:rsidRDefault="00000000">
      <w:pPr>
        <w:pBdr>
          <w:top w:val="nil"/>
          <w:left w:val="nil"/>
          <w:bottom w:val="nil"/>
          <w:right w:val="nil"/>
          <w:between w:val="nil"/>
        </w:pBdr>
        <w:spacing w:line="240" w:lineRule="auto"/>
        <w:ind w:left="1" w:right="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2A341125"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6"/>
          <w:szCs w:val="26"/>
        </w:rPr>
        <w:t>. Мета</w:t>
      </w:r>
    </w:p>
    <w:p w14:paraId="2A828565" w14:textId="6C6EADB5" w:rsidR="00897BE0" w:rsidRDefault="0001125B" w:rsidP="009E3110">
      <w:pPr>
        <w:pBdr>
          <w:top w:val="nil"/>
          <w:left w:val="nil"/>
          <w:bottom w:val="nil"/>
          <w:right w:val="nil"/>
          <w:between w:val="nil"/>
        </w:pBdr>
        <w:shd w:val="clear" w:color="auto" w:fill="FFFFFF"/>
        <w:tabs>
          <w:tab w:val="left" w:pos="709"/>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Про</w:t>
      </w:r>
      <w:r w:rsidR="001F60B0">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кт постанови розроблено з метою створення Єдиної державної електронної системи у сфері безпечності харчових продуктів та захисту споживачів.</w:t>
      </w:r>
    </w:p>
    <w:p w14:paraId="6C443C12" w14:textId="77777777" w:rsidR="00897BE0" w:rsidRDefault="00897BE0">
      <w:pPr>
        <w:pBdr>
          <w:top w:val="nil"/>
          <w:left w:val="nil"/>
          <w:bottom w:val="nil"/>
          <w:right w:val="nil"/>
          <w:between w:val="nil"/>
        </w:pBdr>
        <w:ind w:left="0" w:right="2" w:hanging="2"/>
        <w:jc w:val="both"/>
        <w:rPr>
          <w:rFonts w:ascii="Times New Roman" w:eastAsia="Times New Roman" w:hAnsi="Times New Roman" w:cs="Times New Roman"/>
          <w:color w:val="000000"/>
          <w:sz w:val="20"/>
          <w:szCs w:val="20"/>
        </w:rPr>
      </w:pPr>
    </w:p>
    <w:p w14:paraId="10C16A3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2. </w:t>
      </w:r>
      <w:r>
        <w:rPr>
          <w:rFonts w:ascii="Times New Roman" w:eastAsia="Times New Roman" w:hAnsi="Times New Roman" w:cs="Times New Roman"/>
          <w:b/>
          <w:color w:val="000000"/>
          <w:sz w:val="26"/>
          <w:szCs w:val="26"/>
        </w:rPr>
        <w:t>Обґрунтування необхідності прийняття акта</w:t>
      </w:r>
    </w:p>
    <w:p w14:paraId="67147434" w14:textId="59EC5A27" w:rsidR="00897BE0" w:rsidRDefault="0001125B" w:rsidP="0001125B">
      <w:pPr>
        <w:pBdr>
          <w:top w:val="nil"/>
          <w:left w:val="nil"/>
          <w:bottom w:val="nil"/>
          <w:right w:val="nil"/>
          <w:between w:val="nil"/>
        </w:pBdr>
        <w:shd w:val="clear" w:color="auto" w:fill="FFFFFF"/>
        <w:tabs>
          <w:tab w:val="left" w:pos="709"/>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Прийняття проекту постанови обумовлене необхідністю впровадження сучасних цифрових інструментів у діяльність Державної служби України з питань безпечності харчових продуктів та захисту споживачів (далі – Держпродспоживслужба) для підвищення ефективності надання публічних послуг та покращення адміністративних процесів.</w:t>
      </w:r>
    </w:p>
    <w:p w14:paraId="16BADFE3" w14:textId="7759861C" w:rsidR="00897BE0" w:rsidRDefault="0001125B" w:rsidP="00FC7999">
      <w:pPr>
        <w:pBdr>
          <w:top w:val="nil"/>
          <w:left w:val="nil"/>
          <w:bottom w:val="nil"/>
          <w:right w:val="nil"/>
          <w:between w:val="nil"/>
        </w:pBdr>
        <w:shd w:val="clear" w:color="auto" w:fill="FFFFFF"/>
        <w:tabs>
          <w:tab w:val="left" w:pos="709"/>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Запровадження Єдиної державної електронної системи у сфері безпечності харчових продуктів та захисту споживачів (далі – електронна система) сприятиме створенню єдиної цифрової екосистеми, яка об’єднає ключові інформаційно-комунікаційні системи та підсистеми, бази даних, реєстри, функціональні, програмні модулі, аналітичні платформи</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та забезпечить їх інтеграцію з Єдиним державним </w:t>
      </w:r>
      <w:proofErr w:type="spellStart"/>
      <w:r>
        <w:rPr>
          <w:rFonts w:ascii="Times New Roman" w:eastAsia="Times New Roman" w:hAnsi="Times New Roman" w:cs="Times New Roman"/>
          <w:color w:val="000000"/>
          <w:sz w:val="28"/>
          <w:szCs w:val="28"/>
        </w:rPr>
        <w:t>вебпорталом</w:t>
      </w:r>
      <w:proofErr w:type="spellEnd"/>
      <w:r>
        <w:rPr>
          <w:rFonts w:ascii="Times New Roman" w:eastAsia="Times New Roman" w:hAnsi="Times New Roman" w:cs="Times New Roman"/>
          <w:color w:val="000000"/>
          <w:sz w:val="28"/>
          <w:szCs w:val="28"/>
        </w:rPr>
        <w:t xml:space="preserve"> електронних послуг (далі – Портал Дія) (</w:t>
      </w:r>
      <w:r>
        <w:rPr>
          <w:rFonts w:ascii="Times New Roman" w:eastAsia="Times New Roman" w:hAnsi="Times New Roman" w:cs="Times New Roman"/>
          <w:sz w:val="28"/>
          <w:szCs w:val="28"/>
        </w:rPr>
        <w:t>у разі наявності технічної можливості).</w:t>
      </w:r>
    </w:p>
    <w:p w14:paraId="1A2BB7A5" w14:textId="77777777" w:rsidR="00897BE0" w:rsidRDefault="00000000" w:rsidP="0001125B">
      <w:pPr>
        <w:pBdr>
          <w:top w:val="nil"/>
          <w:left w:val="nil"/>
          <w:bottom w:val="nil"/>
          <w:right w:val="nil"/>
          <w:between w:val="nil"/>
        </w:pBdr>
        <w:spacing w:line="240" w:lineRule="auto"/>
        <w:ind w:left="-2" w:right="2" w:firstLineChars="0" w:firstLine="722"/>
        <w:jc w:val="both"/>
        <w:rPr>
          <w:rFonts w:ascii="Times New Roman" w:eastAsia="Times New Roman" w:hAnsi="Times New Roman" w:cs="Times New Roman"/>
          <w:color w:val="000000"/>
          <w:sz w:val="28"/>
          <w:szCs w:val="28"/>
          <w:highlight w:val="green"/>
        </w:rPr>
      </w:pPr>
      <w:r>
        <w:rPr>
          <w:rFonts w:ascii="Times New Roman" w:eastAsia="Times New Roman" w:hAnsi="Times New Roman" w:cs="Times New Roman"/>
          <w:color w:val="000000"/>
          <w:sz w:val="28"/>
          <w:szCs w:val="28"/>
        </w:rPr>
        <w:t>Реалізація електронної системи стане важливим етапом у вдосконаленні інформаційних систем, сприятиме їх інтеграції з іншими державними реєстрами та забезпечить належний рівень захисту даних. Впровадження вищевказаних рішень підвищить ефективність, прозорість і зручність отримання послуг</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xml:space="preserve"> та взаємодію з Держпродспоживслужбою.</w:t>
      </w:r>
    </w:p>
    <w:p w14:paraId="1A3106EA" w14:textId="77777777" w:rsidR="00897BE0" w:rsidRDefault="00000000" w:rsidP="0001125B">
      <w:pPr>
        <w:pBdr>
          <w:top w:val="nil"/>
          <w:left w:val="nil"/>
          <w:bottom w:val="nil"/>
          <w:right w:val="nil"/>
          <w:between w:val="nil"/>
        </w:pBdr>
        <w:spacing w:line="240" w:lineRule="auto"/>
        <w:ind w:left="-2" w:righ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Цифровізація процедури державної реєстрації потужностей, видачі експлуатаційних дозволів та затвердження тваринницьких потужностей  зменшить обсяг адміністративної роботи, скоротить час розгляду заяв, усуне бюрократичні перепони та підвищить прозорість процедур.</w:t>
      </w:r>
    </w:p>
    <w:p w14:paraId="65E30DE8" w14:textId="77777777" w:rsidR="00897BE0" w:rsidRDefault="00000000" w:rsidP="0001125B">
      <w:pPr>
        <w:pBdr>
          <w:top w:val="nil"/>
          <w:left w:val="nil"/>
          <w:bottom w:val="nil"/>
          <w:right w:val="nil"/>
          <w:between w:val="nil"/>
        </w:pBdr>
        <w:spacing w:line="240" w:lineRule="auto"/>
        <w:ind w:left="-2" w:righ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положень проекту постанови узгоджується з принципами Єдиного цифрового ринку Європейського Союзу (далі – ЄС), зокрема ініціативи </w:t>
      </w:r>
      <w:proofErr w:type="spellStart"/>
      <w:r>
        <w:rPr>
          <w:rFonts w:ascii="Times New Roman" w:eastAsia="Times New Roman" w:hAnsi="Times New Roman" w:cs="Times New Roman"/>
          <w:color w:val="000000"/>
          <w:sz w:val="28"/>
          <w:szCs w:val="28"/>
        </w:rPr>
        <w:t>eGovernment</w:t>
      </w:r>
      <w:proofErr w:type="spellEnd"/>
      <w:r>
        <w:rPr>
          <w:rFonts w:ascii="Times New Roman" w:eastAsia="Times New Roman" w:hAnsi="Times New Roman" w:cs="Times New Roman"/>
          <w:color w:val="000000"/>
          <w:sz w:val="28"/>
          <w:szCs w:val="28"/>
          <w:vertAlign w:val="superscript"/>
        </w:rPr>
        <w:footnoteReference w:id="3"/>
      </w:r>
      <w:r>
        <w:rPr>
          <w:rFonts w:ascii="Times New Roman" w:eastAsia="Times New Roman" w:hAnsi="Times New Roman" w:cs="Times New Roman"/>
          <w:color w:val="000000"/>
          <w:sz w:val="28"/>
          <w:szCs w:val="28"/>
        </w:rPr>
        <w:t>, яка передбачає спрощення адміністративних процедур шляхом впровадження цифрових технологій і покликана покращити взаємодію між громадянами, бізнесом та державними органами через інноваційні рішення, що забезпечують доступність і прозорість державних послуг.</w:t>
      </w:r>
    </w:p>
    <w:p w14:paraId="52996162" w14:textId="77777777"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Імплементація норм у сфері безпечності харчових продуктів та захисту споживачів є важливою частиною європейської інтеграції України. Впровадження сучасних цифрових систем, таких як експериментальна ініціатива, відповідає практикам ЄС, зокрема в частині забезпечення прозорості, простежуваності продукції та захисту споживачів. </w:t>
      </w:r>
    </w:p>
    <w:p w14:paraId="6139E037" w14:textId="1FF55C33"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w:t>
      </w:r>
      <w:r w:rsidR="006107ED">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 xml:space="preserve">кт постанови спрямований на імплементацію норм законодавства ЄС в законодавство України в частині вимог до офіційного контролю, що провадиться для забезпечення застосування положень харчового та кормового права, правил щодо здоров’я і благополуччя тварин, здоров’я рослин та засобів захисту рослин, а також щодо переведення публічних послуг в електронну форму, встановлення правил функціонування системи управління інформацією для офіційного контролю у зазначеній сфері. </w:t>
      </w:r>
    </w:p>
    <w:p w14:paraId="045B823D" w14:textId="77777777"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 відповідає зобов’язанням, взятим Україною в рамках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 вересня 2014 року № 1678-VII (далі – Угода про асоціацію). Згідно зі статтею 64 Глави 4 «Санітарні та фітосанітарні заходи» Розділу IV «Торгівля і питання, пов’язані з торгівлею» Угоди про асоціацію, Україна зобов’язалася поступово наблизити своє законодавство у сфері санітарних та фітосанітарних заходів до законодавства ЄС, відповідно до положень, визначених у Додатку V до зазначеної Глави Угоди про асоціацію.</w:t>
      </w:r>
    </w:p>
    <w:p w14:paraId="45A012FC" w14:textId="580C40C8"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w:t>
      </w:r>
      <w:r w:rsidR="006107ED">
        <w:rPr>
          <w:rFonts w:ascii="Times New Roman" w:eastAsia="Times New Roman" w:hAnsi="Times New Roman" w:cs="Times New Roman"/>
          <w:color w:val="000000"/>
          <w:sz w:val="28"/>
          <w:szCs w:val="28"/>
        </w:rPr>
        <w:t>є</w:t>
      </w:r>
      <w:r>
        <w:rPr>
          <w:rFonts w:ascii="Times New Roman" w:eastAsia="Times New Roman" w:hAnsi="Times New Roman" w:cs="Times New Roman"/>
          <w:color w:val="000000"/>
          <w:sz w:val="28"/>
          <w:szCs w:val="28"/>
        </w:rPr>
        <w:t>кт постанови має на меті забезпечити виконання пункту 216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року № 1106 (далі – План заходів з виконання Угоди).</w:t>
      </w:r>
    </w:p>
    <w:p w14:paraId="2905298F" w14:textId="77777777"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того, проект постанови передбачає впровадження положень актів ЄС:</w:t>
      </w:r>
    </w:p>
    <w:p w14:paraId="46182EE3"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Регламенту (ЄС) № 178/2002 Європейського Парламенту та Ради </w:t>
      </w:r>
      <w:r>
        <w:rPr>
          <w:rFonts w:ascii="Times New Roman" w:eastAsia="Times New Roman" w:hAnsi="Times New Roman" w:cs="Times New Roman"/>
          <w:color w:val="000000"/>
          <w:sz w:val="28"/>
          <w:szCs w:val="28"/>
        </w:rPr>
        <w:br/>
        <w:t xml:space="preserve">від 28 січня 2002 року, що встановлює загальні принципи та вимоги законодавства про харчові продукти, створює Європейський орган з безпеки харчових продуктів та встановлює процедури з питань безпеки харчових продуктів; </w:t>
      </w:r>
    </w:p>
    <w:p w14:paraId="28CB8F6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Регламенту (ЄС) 2017/625 Європейського Парламенту та Ради </w:t>
      </w:r>
      <w:r>
        <w:rPr>
          <w:rFonts w:ascii="Times New Roman" w:eastAsia="Times New Roman" w:hAnsi="Times New Roman" w:cs="Times New Roman"/>
          <w:color w:val="000000"/>
          <w:sz w:val="28"/>
          <w:szCs w:val="28"/>
        </w:rPr>
        <w:br/>
        <w:t xml:space="preserve">від 15 березня 2017 року про офіційний контроль та іншу офіційну діяльність, що здійснюється для забезпечення застосування законодавства про харчові продукти та корми, правил щодо здоров'я та добробуту тварин, здоров'я рослин та засобів захисту рослин, що вносить зміни до Регламентів (ЄС) № 999/2001, (ЄС) № 396/2005, (ЄС) № 1069/2009, (ЄС) № 1107/2009, (ЄС) № 1151/2012, (ЄС) № 652/2014, (ЄС) 2016/429 та (ЄС) 2016/2031 Європейського Парламенту та Ради, Регламентів Ради (ЄС) № 1/2005 та (ЄС) № 1099/2009 та Директив Ради 98/58/ЄС, 1999/74/ЄС, 2007/43/ЄС, 2008/119/ЄС та 2008/120/ЄС, що скасовують Регламенти (ЄС) № 854/2004 та (ЄС) № 882/2004 Європейського Парламенту та Ради, Директиви Ради 89/608/ЄЕС, 89/662/ЄЕС, 90/425/ЄЕС, 91/496/ЄЕС, </w:t>
      </w:r>
      <w:r>
        <w:rPr>
          <w:rFonts w:ascii="Times New Roman" w:eastAsia="Times New Roman" w:hAnsi="Times New Roman" w:cs="Times New Roman"/>
          <w:color w:val="000000"/>
          <w:sz w:val="28"/>
          <w:szCs w:val="28"/>
        </w:rPr>
        <w:lastRenderedPageBreak/>
        <w:t>96/23/ЄС, 96/93/ЄС та 97/78/ЄС та Рішення Ради 92/438/ЄЕС (Регламент про офіційний контроль);</w:t>
      </w:r>
    </w:p>
    <w:p w14:paraId="244A6E6A"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proofErr w:type="spellStart"/>
      <w:r>
        <w:rPr>
          <w:rFonts w:ascii="Times New Roman" w:eastAsia="Times New Roman" w:hAnsi="Times New Roman" w:cs="Times New Roman"/>
          <w:color w:val="000000"/>
          <w:sz w:val="28"/>
          <w:szCs w:val="28"/>
        </w:rPr>
        <w:t>Імплементаційного</w:t>
      </w:r>
      <w:proofErr w:type="spellEnd"/>
      <w:r>
        <w:rPr>
          <w:rFonts w:ascii="Times New Roman" w:eastAsia="Times New Roman" w:hAnsi="Times New Roman" w:cs="Times New Roman"/>
          <w:color w:val="000000"/>
          <w:sz w:val="28"/>
          <w:szCs w:val="28"/>
        </w:rPr>
        <w:t xml:space="preserve"> регламенту Комісії (ЄС) 2019/1715 від 30 вересня 2019 року, що встановлює правила функціонування системи управління інформацією для офіційного контролю та її системних компонентів (Регламент IMSOC).</w:t>
      </w:r>
    </w:p>
    <w:p w14:paraId="567AB139" w14:textId="77777777"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чином, проект постанови, окрім іншого спрямований на гармонізацію українського законодавства з правом ЄС у сфері безпечності харчових продуктів та захисту споживачів, що сприятиме інтеграції України до Єдиного цифрового ринку ЄС та забезпечить високий рівень захисту споживачів.</w:t>
      </w:r>
    </w:p>
    <w:p w14:paraId="205F67EE" w14:textId="77777777" w:rsidR="00FC7999" w:rsidRDefault="00000000" w:rsidP="00FC7999">
      <w:pPr>
        <w:pBdr>
          <w:top w:val="nil"/>
          <w:left w:val="nil"/>
          <w:bottom w:val="nil"/>
          <w:right w:val="nil"/>
          <w:between w:val="nil"/>
        </w:pBdr>
        <w:spacing w:line="240" w:lineRule="auto"/>
        <w:ind w:leftChars="0" w:left="1" w:firstLineChars="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Наближення регуляторного середовища та цифрового розвитку України до рівня ЄС, окрім іншого, збільшить експорт послуг з України до ЄС на 7,6-12,2%, а експорт товарів – на 11,8-17%. І, навпаки, експорт послуг з ЄС до України може зрости до 5,7-9,1%, а експорт товарів – до 17,7-21,7%. Ці показники демонструють сукупний потенційний приріст торгівлі протягом усього етапу реалізації реформи з метою регуляторного та цифрового зближення. </w:t>
      </w:r>
      <w:r w:rsidR="00FC7999">
        <w:rPr>
          <w:rFonts w:ascii="Times New Roman" w:eastAsia="Times New Roman" w:hAnsi="Times New Roman" w:cs="Times New Roman"/>
          <w:color w:val="000000"/>
          <w:sz w:val="28"/>
          <w:szCs w:val="28"/>
        </w:rPr>
        <w:t xml:space="preserve"> </w:t>
      </w:r>
    </w:p>
    <w:p w14:paraId="3BEDB3F2" w14:textId="21CF14D8" w:rsidR="00897BE0" w:rsidRDefault="00000000" w:rsidP="00FC7999">
      <w:pPr>
        <w:pBdr>
          <w:top w:val="nil"/>
          <w:left w:val="nil"/>
          <w:bottom w:val="nil"/>
          <w:right w:val="nil"/>
          <w:between w:val="nil"/>
        </w:pBdr>
        <w:spacing w:line="240" w:lineRule="auto"/>
        <w:ind w:leftChars="0" w:left="1" w:firstLineChars="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Трансформація не лише зміцнить економічний зв’язок між Україною та ЄС, але й зменшить кількість нетарифних торговельних бар’єрів завдяки оцифруванню транскордонних транзакцій та регуляторному узгодженню в цифровій сфері.</w:t>
      </w:r>
    </w:p>
    <w:p w14:paraId="291D1565" w14:textId="5EB3F7A4"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Розробка та впровадження експериментального </w:t>
      </w:r>
      <w:proofErr w:type="spellStart"/>
      <w:r>
        <w:rPr>
          <w:rFonts w:ascii="Times New Roman" w:eastAsia="Times New Roman" w:hAnsi="Times New Roman" w:cs="Times New Roman"/>
          <w:color w:val="000000"/>
          <w:sz w:val="28"/>
          <w:szCs w:val="28"/>
        </w:rPr>
        <w:t>проекта</w:t>
      </w:r>
      <w:proofErr w:type="spellEnd"/>
      <w:r>
        <w:rPr>
          <w:rFonts w:ascii="Times New Roman" w:eastAsia="Times New Roman" w:hAnsi="Times New Roman" w:cs="Times New Roman"/>
          <w:color w:val="000000"/>
          <w:sz w:val="28"/>
          <w:szCs w:val="28"/>
        </w:rPr>
        <w:t xml:space="preserve"> щодо створення єдиної інформаційно-комунікаційної системи у сфері безпечності харчових продуктів, а також створення єдиного порталу сервісів Держпродспоживслужби передбачені пунктами 233 та 234 Плану пріоритетних дій Уряду на 2025 рік, затвердженого розпорядженням Кабінету Міністрів України від 18 лютого 2025 р. № 131-р. Ці ініціативи є частиною цифрової трансформації, спрямованої на підвищення ефективності надання публічних послуг у сфері безпечності харчових продуктів та захисту споживачів. Вони відповідають стратегічним цілям державної політики щодо інтеграції України до Єдиного цифрового ринку ЄС та гармонізації національного законодавства з правом Європейського Союзу.</w:t>
      </w:r>
    </w:p>
    <w:p w14:paraId="5BCA8C4C" w14:textId="77777777" w:rsidR="00897BE0" w:rsidRDefault="00000000" w:rsidP="00FC7999">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Актуальність та доцільність розробки </w:t>
      </w:r>
      <w:proofErr w:type="spellStart"/>
      <w:r>
        <w:rPr>
          <w:rFonts w:ascii="Times New Roman" w:eastAsia="Times New Roman" w:hAnsi="Times New Roman" w:cs="Times New Roman"/>
          <w:color w:val="000000"/>
          <w:sz w:val="28"/>
          <w:szCs w:val="28"/>
        </w:rPr>
        <w:t>проекта</w:t>
      </w:r>
      <w:proofErr w:type="spellEnd"/>
      <w:r>
        <w:rPr>
          <w:rFonts w:ascii="Times New Roman" w:eastAsia="Times New Roman" w:hAnsi="Times New Roman" w:cs="Times New Roman"/>
          <w:color w:val="000000"/>
          <w:sz w:val="28"/>
          <w:szCs w:val="28"/>
        </w:rPr>
        <w:t xml:space="preserve"> постанови обумовлена необхідністю створення ефективної та сучасної системи надання послуг у сфері безпечності харчових продуктів і захисту споживачів. Це важливий крок для приведення існуючих процесів у відповідність до вимог чинного законодавства та європейських стандартів, що сприятиме забезпеченню прозорості, доступності та якості послуг.</w:t>
      </w:r>
    </w:p>
    <w:p w14:paraId="047519D4"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Метою створення та впровадження електронної системи є забезпечення електронної взаємодії між Держпродспоживслужбою та операторами ринку для отримання в електронному вигляді послуг у сферах: </w:t>
      </w:r>
    </w:p>
    <w:p w14:paraId="1B6C81C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виробництва та/або обігу харчових продуктів; </w:t>
      </w:r>
    </w:p>
    <w:p w14:paraId="2CBC809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обігу побічних продуктів тваринного походження та продуктів їх оброблення і переробки; </w:t>
      </w:r>
    </w:p>
    <w:p w14:paraId="569F23DC"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виробництва та/або обігу кормів; </w:t>
      </w:r>
    </w:p>
    <w:p w14:paraId="322F8F6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реєстрації та/або затвердження тваринницьких потужностей; </w:t>
      </w:r>
    </w:p>
    <w:p w14:paraId="659E4700"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інших послуг, віднесених до компетенції Держпродспоживслужби.</w:t>
      </w:r>
    </w:p>
    <w:p w14:paraId="0416B541"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Усі процедури здійснюватимуться в електронній формі, що забезпечить прозорість, підвищить зручність і ефективність взаємодії операторів ринку з Держпродспоживслужбою, а також скорочення строків надання послуг.</w:t>
      </w:r>
    </w:p>
    <w:p w14:paraId="76342174"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Зміни, передбачені проектом постанови, забезпечують єдиний доступ до послуг Держпродспоживслужби, що дозволяє отримувати всі послуги у сфері безпечності харчових продуктів та захисту споживачів в електронній формі через єдиний державний інтерфейс.</w:t>
      </w:r>
    </w:p>
    <w:p w14:paraId="48F44ABD"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Прозорість взаємодії громадян, підприємців та владних органів, зокрема Держпродспоживслужби, забезпечується завдяки: </w:t>
      </w:r>
    </w:p>
    <w:p w14:paraId="5EE40834"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можливості відслідковування статусу опрацювання запитів в режимі реального часу; </w:t>
      </w:r>
    </w:p>
    <w:p w14:paraId="6D1BA108"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відкритому доступу до інформації щодо планування, проведення та результатів інспектування.</w:t>
      </w:r>
    </w:p>
    <w:p w14:paraId="57FDB08F"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Автоматизація процесів полягає у переведенні адміністративних процедур, які здійснює Держпродспоживслужба, в електронну форму, що забезпечує: </w:t>
      </w:r>
    </w:p>
    <w:p w14:paraId="3A6B3325"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автоматичну перевірку </w:t>
      </w:r>
      <w:proofErr w:type="spellStart"/>
      <w:r>
        <w:rPr>
          <w:rFonts w:ascii="Times New Roman" w:eastAsia="Times New Roman" w:hAnsi="Times New Roman" w:cs="Times New Roman"/>
          <w:color w:val="000000"/>
          <w:sz w:val="28"/>
          <w:szCs w:val="28"/>
        </w:rPr>
        <w:t>заповненості</w:t>
      </w:r>
      <w:proofErr w:type="spellEnd"/>
      <w:r>
        <w:rPr>
          <w:rFonts w:ascii="Times New Roman" w:eastAsia="Times New Roman" w:hAnsi="Times New Roman" w:cs="Times New Roman"/>
          <w:color w:val="000000"/>
          <w:sz w:val="28"/>
          <w:szCs w:val="28"/>
        </w:rPr>
        <w:t xml:space="preserve"> та достовірності даних під час подання заяв через електронні системи;</w:t>
      </w:r>
    </w:p>
    <w:p w14:paraId="3D95DA13"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автоматичне внесення змін до реєстрів та баз даних без участі посадових осіб;</w:t>
      </w:r>
    </w:p>
    <w:p w14:paraId="38DBD741"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автоматичне формування графіків інспектування з урахуванням ризик-орієнтованого підходу;</w:t>
      </w:r>
    </w:p>
    <w:p w14:paraId="64DDB5F9"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реєстрація результатів інспекцій в електронному форматі безпосередньо під час перевірок;</w:t>
      </w:r>
    </w:p>
    <w:p w14:paraId="289AF7BC"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генерація витягів, сертифікатів та інших результатів послуг у форматі PDF чи іншому електронному вигляді. </w:t>
      </w:r>
    </w:p>
    <w:p w14:paraId="5C1EBED0"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відправка документів заявникам через особистий кабінет чи електронну пошту;</w:t>
      </w:r>
    </w:p>
    <w:p w14:paraId="228B1166"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електронне подання скарг або запитів із отриманням відповіді в установлені строки;</w:t>
      </w:r>
    </w:p>
    <w:p w14:paraId="4C2735B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інтеграція з системами моніторингу для автоматичного реагування на типові проблеми. </w:t>
      </w:r>
    </w:p>
    <w:p w14:paraId="1745A300"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Завдяки цим змінам спрощується взаємодія для отримувачів послуг, скорочуються строки надання публічних послуг і зменшується адміністративне навантаження.</w:t>
      </w:r>
    </w:p>
    <w:p w14:paraId="658AFCD5"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Окрім того, передбачається, що ці нововведення дозволять громадянам та підприємцям взаємодіяти з владними органами максимально просто, ефективно та прозоро, скорочуючи час на адміністративні процедури і забезпечуючи високу якість публічного сервісу.</w:t>
      </w:r>
    </w:p>
    <w:p w14:paraId="20125C4F" w14:textId="77777777" w:rsidR="00897BE0" w:rsidRDefault="00000000" w:rsidP="003F4C26">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 огляду на викладене та наявність відповідних законодавчих передумов, доцільно запровадити автоматичну державну реєстрацію потужностей та видачу експлуатаційних дозволів у режимі реального часу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w:t>
      </w:r>
      <w:r>
        <w:rPr>
          <w:rFonts w:ascii="Times New Roman" w:eastAsia="Times New Roman" w:hAnsi="Times New Roman" w:cs="Times New Roman"/>
          <w:color w:val="000000"/>
          <w:sz w:val="28"/>
          <w:szCs w:val="28"/>
        </w:rPr>
        <w:t xml:space="preserve">. Це здійснюватиметься шляхом перевірки повноти та достовірності даних, зазначених оператором ринку в єдиній заяві під час її формування та подання </w:t>
      </w:r>
      <w:r>
        <w:rPr>
          <w:rFonts w:ascii="Times New Roman" w:eastAsia="Times New Roman" w:hAnsi="Times New Roman" w:cs="Times New Roman"/>
          <w:sz w:val="28"/>
          <w:szCs w:val="28"/>
        </w:rPr>
        <w:t>через електронний кабінет та/або  електронний кабінет Порталу Дія (у разі наявності технічної можливості.</w:t>
      </w:r>
    </w:p>
    <w:p w14:paraId="7B6C0FDF" w14:textId="77777777" w:rsidR="00897BE0" w:rsidRDefault="00000000">
      <w:pPr>
        <w:pBdr>
          <w:top w:val="nil"/>
          <w:left w:val="nil"/>
          <w:bottom w:val="nil"/>
          <w:right w:val="nil"/>
          <w:between w:val="nil"/>
        </w:pBdr>
        <w:spacing w:line="240" w:lineRule="auto"/>
        <w:ind w:left="0" w:right="2"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6BE1D6C" w14:textId="77777777" w:rsidR="006107ED" w:rsidRDefault="006107ED">
      <w:pPr>
        <w:pBdr>
          <w:top w:val="nil"/>
          <w:left w:val="nil"/>
          <w:bottom w:val="nil"/>
          <w:right w:val="nil"/>
          <w:between w:val="nil"/>
        </w:pBdr>
        <w:spacing w:line="240" w:lineRule="auto"/>
        <w:ind w:left="1" w:hanging="3"/>
        <w:jc w:val="both"/>
        <w:rPr>
          <w:rFonts w:ascii="Times New Roman" w:eastAsia="Times New Roman" w:hAnsi="Times New Roman" w:cs="Times New Roman"/>
          <w:b/>
          <w:color w:val="000000"/>
          <w:sz w:val="28"/>
          <w:szCs w:val="28"/>
        </w:rPr>
      </w:pPr>
    </w:p>
    <w:p w14:paraId="7BA9E1A8" w14:textId="3C684223"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 Основні положення проекту акта</w:t>
      </w:r>
    </w:p>
    <w:p w14:paraId="3F42EFC7" w14:textId="456A1943" w:rsidR="00897BE0" w:rsidRDefault="006107ED">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Проєктом постанови передбачається затвердити Порядок реалізації експериментального проекту – сукупність інформаційно-комунікаційних систем, яка складається з компонентів (складових) забезпечення доступу до інформації у сфері безпечності та якості продукції, епізоотичного та епідеміологічного благополуччя, фітосанітарної безпеки та захисту прав споживачів, що забезпечує створення, перегляд, відправлення, прийняття, збирання, внесення, накопичення, обробку, використання, розгляд, зберігання, захист, облік та надання інформації, а також електронну взаємодію між фізичними та юридичними особами, фізичними особами — підприємцями, суб’єктами надання адміністративних послуг, суб’єктами надання публічних (електронних публічних) послуг у сферах, віднесених до компетенції Держпродспоживслужби;</w:t>
      </w:r>
    </w:p>
    <w:p w14:paraId="05F587FA" w14:textId="44D29322" w:rsidR="00897BE0" w:rsidRDefault="006107ED">
      <w:pPr>
        <w:tabs>
          <w:tab w:val="left" w:pos="851"/>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Єдина державна електронна система у сфері безпечності харчових продуктів та захисту споживачів (далі – електронна система) є інтегрованою інформаційною системою, що забезпечує сукупність та логічне поєднання інформаційно-комунікаційних систем, інформаційних автоматизованих систем, публічних електронних реєстрів та інших електронних компонентів, внутрішню та зовнішню електронну інформаційну взаємодію, а також створення, збирання, одержання, зберігання, використання, поширення та захист інформації у сфері безпечності та якості продукції, епізоотичного та епідеміологічного благополуччя, фітосанітарної безпеки та захисту прав споживачів.</w:t>
      </w:r>
    </w:p>
    <w:p w14:paraId="376E3DC4" w14:textId="45FD0E82" w:rsidR="00897BE0" w:rsidRDefault="006107ED">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Електронна система складається з: </w:t>
      </w:r>
    </w:p>
    <w:p w14:paraId="1B4447AC" w14:textId="7B1CEA26" w:rsidR="00897BE0" w:rsidRPr="006107ED" w:rsidRDefault="006107ED">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є</w:t>
      </w:r>
      <w:r w:rsidRPr="006107ED">
        <w:rPr>
          <w:rFonts w:ascii="Times New Roman" w:eastAsia="Times New Roman" w:hAnsi="Times New Roman" w:cs="Times New Roman"/>
          <w:sz w:val="28"/>
          <w:szCs w:val="28"/>
        </w:rPr>
        <w:t>диного порталу сервісів Державної служби з питань безпечності харчових продуктів та захисту споживачів (далі - Портал електронної системи)</w:t>
      </w:r>
      <w:r w:rsidRPr="006107ED">
        <w:rPr>
          <w:rFonts w:ascii="Times New Roman" w:eastAsia="Times New Roman" w:hAnsi="Times New Roman" w:cs="Times New Roman"/>
          <w:color w:val="000000"/>
          <w:sz w:val="28"/>
          <w:szCs w:val="28"/>
        </w:rPr>
        <w:t>;</w:t>
      </w:r>
    </w:p>
    <w:p w14:paraId="257E3F31" w14:textId="77777777" w:rsidR="00897BE0" w:rsidRDefault="00000000">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електронного кабінету користувача </w:t>
      </w:r>
      <w:r>
        <w:rPr>
          <w:rFonts w:ascii="Times New Roman" w:eastAsia="Times New Roman" w:hAnsi="Times New Roman" w:cs="Times New Roman"/>
          <w:sz w:val="28"/>
          <w:szCs w:val="28"/>
        </w:rPr>
        <w:t>електронної системи</w:t>
      </w:r>
      <w:r>
        <w:rPr>
          <w:rFonts w:ascii="Times New Roman" w:eastAsia="Times New Roman" w:hAnsi="Times New Roman" w:cs="Times New Roman"/>
          <w:color w:val="000000"/>
          <w:sz w:val="28"/>
          <w:szCs w:val="28"/>
        </w:rPr>
        <w:t xml:space="preserve"> (далі – електронний кабінет);</w:t>
      </w:r>
    </w:p>
    <w:p w14:paraId="774B0CFE" w14:textId="77777777" w:rsidR="00897BE0" w:rsidRDefault="00000000">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мобільного додатку для проведення заходів державного контролю, призначений для застосування технічними приладами та засобами, що мають функції фото- та/або відеозйомки, аудіо та/або відеозапису, а також для зберігання, експорту результатів фіксації зазначених заходів державного контролю чи окремих дій;</w:t>
      </w:r>
    </w:p>
    <w:p w14:paraId="153E7672" w14:textId="77777777" w:rsidR="00897BE0" w:rsidRDefault="00000000">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картки оператора ринку;</w:t>
      </w:r>
    </w:p>
    <w:p w14:paraId="1852A4CB" w14:textId="4FB3C2BB" w:rsidR="00897BE0" w:rsidRDefault="006107ED">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державної електронної системи </w:t>
      </w:r>
      <w:proofErr w:type="spellStart"/>
      <w:r>
        <w:rPr>
          <w:rFonts w:ascii="Times New Roman" w:eastAsia="Times New Roman" w:hAnsi="Times New Roman" w:cs="Times New Roman"/>
          <w:color w:val="000000"/>
          <w:sz w:val="28"/>
          <w:szCs w:val="28"/>
        </w:rPr>
        <w:t>eФуд</w:t>
      </w:r>
      <w:proofErr w:type="spellEnd"/>
      <w:r>
        <w:rPr>
          <w:rFonts w:ascii="Times New Roman" w:eastAsia="Times New Roman" w:hAnsi="Times New Roman" w:cs="Times New Roman"/>
          <w:sz w:val="28"/>
          <w:szCs w:val="28"/>
        </w:rPr>
        <w:t xml:space="preserve"> — складової частини електронної системи;</w:t>
      </w:r>
    </w:p>
    <w:p w14:paraId="3588CE1F" w14:textId="77777777" w:rsidR="00897BE0" w:rsidRDefault="00000000">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інших інтегрованих інформаційних систем, інформаційно-комунікаційних систем та підсистем, баз даних, реєстрів, мобільних додатків, функціональних, програмних модулів, аналітичних платформ, які належать до сфери застосування електронної системи (у разі наявності технічної можливості).</w:t>
      </w:r>
    </w:p>
    <w:p w14:paraId="5C5854F3" w14:textId="14B11921" w:rsidR="00897BE0" w:rsidRDefault="006107ED">
      <w:pPr>
        <w:pBdr>
          <w:top w:val="nil"/>
          <w:left w:val="nil"/>
          <w:bottom w:val="nil"/>
          <w:right w:val="nil"/>
          <w:between w:val="nil"/>
        </w:pBdr>
        <w:shd w:val="clear" w:color="auto" w:fill="FFFFFF"/>
        <w:tabs>
          <w:tab w:val="left" w:pos="851"/>
        </w:tabs>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Зокрема, в рамках системи буде реалізовано можливості  видачі міжнародних ветеринарних сертифікатів, ветеринарних свідоцтв та ветеринарних паспортів тварин для переміщення тварин, побічних продуктів тваринного походження, репродуктивного матеріалу, біологічних продуктів (матеріалів) у електронній формі; </w:t>
      </w:r>
      <w:proofErr w:type="spellStart"/>
      <w:r>
        <w:rPr>
          <w:rFonts w:ascii="Times New Roman" w:eastAsia="Times New Roman" w:hAnsi="Times New Roman" w:cs="Times New Roman"/>
          <w:color w:val="000000"/>
          <w:sz w:val="28"/>
          <w:szCs w:val="28"/>
        </w:rPr>
        <w:t>цифровізовано</w:t>
      </w:r>
      <w:proofErr w:type="spellEnd"/>
      <w:r>
        <w:rPr>
          <w:rFonts w:ascii="Times New Roman" w:eastAsia="Times New Roman" w:hAnsi="Times New Roman" w:cs="Times New Roman"/>
          <w:color w:val="000000"/>
          <w:sz w:val="28"/>
          <w:szCs w:val="28"/>
        </w:rPr>
        <w:t xml:space="preserve"> процедури обміну інформацією між Держпродспоживслужбою та її територіальними органами про безпосередні </w:t>
      </w:r>
      <w:r>
        <w:rPr>
          <w:rFonts w:ascii="Times New Roman" w:eastAsia="Times New Roman" w:hAnsi="Times New Roman" w:cs="Times New Roman"/>
          <w:color w:val="000000"/>
          <w:sz w:val="28"/>
          <w:szCs w:val="28"/>
        </w:rPr>
        <w:lastRenderedPageBreak/>
        <w:t>та потенційні ризики для людини та/або тварини, пов’язані з харчовими продуктами, кормами, матеріалами і предметами, призначеними для контакту з харчовими продуктами та вжиття відповідних заходів щодо запобігання, зменшення та/або усунення таких ризиків; забезпечено доступ до подання в електронному вигляді виробниками та імпортерами тютюнових виробів, трав’яних виробів для куріння, інформації (звітності) про інгредієнти тютюнових виробів та викиди інформації (звітності) та оприлюднення відкритої інформації (за виключенням конфіденційної інформації, доступ до якої обмежено виробником, імпортером) тощо.</w:t>
      </w:r>
    </w:p>
    <w:p w14:paraId="43BFD860"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31DCBC82"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Правові аспекти</w:t>
      </w:r>
    </w:p>
    <w:p w14:paraId="7C3894B3" w14:textId="77777777" w:rsidR="00897BE0" w:rsidRDefault="00000000" w:rsidP="006107ED">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даній сфері суспільних відносин діють:</w:t>
      </w:r>
    </w:p>
    <w:p w14:paraId="21AD9030"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w:t>
      </w:r>
      <w:r>
        <w:rPr>
          <w:color w:val="001D35"/>
          <w:sz w:val="27"/>
          <w:szCs w:val="27"/>
          <w:highlight w:val="white"/>
        </w:rPr>
        <w:t xml:space="preserve"> </w:t>
      </w:r>
      <w:r>
        <w:rPr>
          <w:rFonts w:ascii="Times New Roman" w:eastAsia="Times New Roman" w:hAnsi="Times New Roman" w:cs="Times New Roman"/>
          <w:sz w:val="28"/>
          <w:szCs w:val="28"/>
          <w:highlight w:val="white"/>
        </w:rPr>
        <w:t xml:space="preserve">від 23 грудня 1997 р. № 771/97-ВР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основні принципи та вимоги до безпечності та якості харчових продуктів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1A81505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w:t>
      </w:r>
      <w:r>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highlight w:val="white"/>
        </w:rPr>
        <w:t xml:space="preserve">21 грудня 2017 р. № 2264-VIII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безпечність та гігієну кормів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6DF3D758"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України від 25 червня 1992 р. № 2498-ХІІ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ветеринарну медицину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3E993E95"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України </w:t>
      </w:r>
      <w:r>
        <w:rPr>
          <w:rFonts w:ascii="Times New Roman" w:eastAsia="Times New Roman" w:hAnsi="Times New Roman" w:cs="Times New Roman"/>
          <w:sz w:val="28"/>
          <w:szCs w:val="28"/>
          <w:highlight w:val="white"/>
        </w:rPr>
        <w:t>від 07 квітня 2015 р.  № 287-VІІІ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 побічні продукти тваринного походження, не призначені для споживання людиною</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1802BE76"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України </w:t>
      </w:r>
      <w:r>
        <w:rPr>
          <w:rFonts w:ascii="Times New Roman" w:eastAsia="Times New Roman" w:hAnsi="Times New Roman" w:cs="Times New Roman"/>
          <w:sz w:val="27"/>
          <w:szCs w:val="27"/>
          <w:highlight w:val="white"/>
        </w:rPr>
        <w:t xml:space="preserve">від </w:t>
      </w:r>
      <w:r>
        <w:rPr>
          <w:rFonts w:ascii="Times New Roman" w:eastAsia="Times New Roman" w:hAnsi="Times New Roman" w:cs="Times New Roman"/>
          <w:sz w:val="28"/>
          <w:szCs w:val="28"/>
          <w:highlight w:val="white"/>
        </w:rPr>
        <w:t>18 травня 2017 р.  № 2042- VІІІ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3C5170A9"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України </w:t>
      </w:r>
      <w:r>
        <w:rPr>
          <w:rFonts w:ascii="Times New Roman" w:eastAsia="Times New Roman" w:hAnsi="Times New Roman" w:cs="Times New Roman"/>
          <w:sz w:val="28"/>
          <w:szCs w:val="28"/>
          <w:highlight w:val="white"/>
        </w:rPr>
        <w:t xml:space="preserve">від 02 жовтня 1992 р.  № 2657-ХІІ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інформацію</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1B5BDB4A"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highlight w:val="white"/>
        </w:rPr>
        <w:t>23 травня 2018 р. № 2428-VIII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 захист інформації в інформаційно-комунікаційних системах</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2DF85BD5"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1 червня 2010 р. № 2297-VI</w:t>
      </w:r>
      <w:r>
        <w:rPr>
          <w:sz w:val="24"/>
          <w:szCs w:val="24"/>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захист персональних даних</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2BE7CBD4"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Закон України </w:t>
      </w:r>
      <w:r>
        <w:rPr>
          <w:rFonts w:ascii="Times New Roman" w:eastAsia="Times New Roman" w:hAnsi="Times New Roman" w:cs="Times New Roman"/>
          <w:sz w:val="28"/>
          <w:szCs w:val="28"/>
          <w:highlight w:val="white"/>
        </w:rPr>
        <w:t>5 жовтня 2017 р. № 2155-VIII</w:t>
      </w:r>
      <w:r>
        <w:rPr>
          <w:rFonts w:ascii="Times New Roman" w:eastAsia="Times New Roman" w:hAnsi="Times New Roman" w:cs="Times New Roman"/>
          <w:sz w:val="28"/>
          <w:szCs w:val="28"/>
        </w:rPr>
        <w:t xml:space="preserve"> “Про електронну ідентифікацію та електронні довірчі послуги”;</w:t>
      </w:r>
    </w:p>
    <w:p w14:paraId="7683487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Закон України </w:t>
      </w:r>
      <w:r>
        <w:rPr>
          <w:rFonts w:ascii="Times New Roman" w:eastAsia="Times New Roman" w:hAnsi="Times New Roman" w:cs="Times New Roman"/>
          <w:sz w:val="28"/>
          <w:szCs w:val="28"/>
          <w:highlight w:val="white"/>
        </w:rPr>
        <w:t xml:space="preserve">22 травня 2003 р. № 851-IV </w:t>
      </w:r>
      <w:r>
        <w:rPr>
          <w:rFonts w:ascii="Times New Roman" w:eastAsia="Times New Roman" w:hAnsi="Times New Roman" w:cs="Times New Roman"/>
          <w:sz w:val="28"/>
          <w:szCs w:val="28"/>
        </w:rPr>
        <w:t>“Про ел</w:t>
      </w:r>
      <w:r>
        <w:rPr>
          <w:rFonts w:ascii="Times New Roman" w:eastAsia="Times New Roman" w:hAnsi="Times New Roman" w:cs="Times New Roman"/>
          <w:color w:val="000000"/>
          <w:sz w:val="28"/>
          <w:szCs w:val="28"/>
        </w:rPr>
        <w:t>ектронні документи та електронний документообіг</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2581311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Закони України </w:t>
      </w:r>
      <w:r>
        <w:rPr>
          <w:rFonts w:ascii="Times New Roman" w:eastAsia="Times New Roman" w:hAnsi="Times New Roman" w:cs="Times New Roman"/>
          <w:sz w:val="28"/>
          <w:szCs w:val="28"/>
          <w:highlight w:val="white"/>
        </w:rPr>
        <w:t>від 13 січня 2011 р.  № 2939-VІ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доступ до публічної інформації</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68450A0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постанова Кабінету Міністрів України від 12 січня 2024 р. № 27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3B9FBEF6"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пріоритетних дій Уряду на 2025 рік, затверджений розпорядженням Кабінету Міністрів України від 18 лютого 2025 р. № 131-р.</w:t>
      </w:r>
    </w:p>
    <w:p w14:paraId="7A6DB13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План заходів щодо переведення публічних послуг в електронну форму до 2026 року, затверджений розпорядженням Кабінету Міністрів України </w:t>
      </w:r>
      <w:r>
        <w:rPr>
          <w:rFonts w:ascii="Times New Roman" w:eastAsia="Times New Roman" w:hAnsi="Times New Roman" w:cs="Times New Roman"/>
          <w:color w:val="000000"/>
          <w:sz w:val="28"/>
          <w:szCs w:val="28"/>
        </w:rPr>
        <w:br/>
        <w:t>від 21 березня 2025 р. № 263</w:t>
      </w:r>
      <w:r>
        <w:rPr>
          <w:rFonts w:ascii="Times New Roman" w:eastAsia="Times New Roman" w:hAnsi="Times New Roman" w:cs="Times New Roman"/>
          <w:sz w:val="28"/>
          <w:szCs w:val="28"/>
        </w:rPr>
        <w:t>.</w:t>
      </w:r>
    </w:p>
    <w:p w14:paraId="5D34809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України для реалізації у 2024-2027 роках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Facility</w:t>
      </w:r>
      <w:proofErr w:type="spellEnd"/>
      <w:r>
        <w:rPr>
          <w:rFonts w:ascii="Times New Roman" w:eastAsia="Times New Roman" w:hAnsi="Times New Roman" w:cs="Times New Roman"/>
          <w:sz w:val="28"/>
          <w:szCs w:val="28"/>
        </w:rPr>
        <w:t xml:space="preserve"> (розділ “Агропродовольчий сектор” та розділ 14 “Цифрова трансформація”), </w:t>
      </w:r>
      <w:r>
        <w:rPr>
          <w:rFonts w:ascii="Times New Roman" w:eastAsia="Times New Roman" w:hAnsi="Times New Roman" w:cs="Times New Roman"/>
          <w:sz w:val="28"/>
          <w:szCs w:val="28"/>
        </w:rPr>
        <w:lastRenderedPageBreak/>
        <w:t>затверджений розпорядженням Кабінету Міністрів України від 18 березня 2024 року № 244-р.</w:t>
      </w:r>
    </w:p>
    <w:p w14:paraId="42370E22"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продовольчої безпеки України на період до 2027 року та операційний план заходів з її реалізації, затверджені розпорядженням Кабінету Міністрів України від 23 липня 2024 року № 684-р.</w:t>
      </w:r>
    </w:p>
    <w:p w14:paraId="5525F4EF" w14:textId="537F4891"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Національна економічна стратегія на період до 2030 року, затверджена розпорядженням Кабінету Міністрів України від 3 березня 2021 року № 179</w:t>
      </w:r>
      <w:r w:rsidR="006107ED">
        <w:rPr>
          <w:rFonts w:ascii="Times New Roman" w:eastAsia="Times New Roman" w:hAnsi="Times New Roman" w:cs="Times New Roman"/>
          <w:sz w:val="28"/>
          <w:szCs w:val="28"/>
        </w:rPr>
        <w:t xml:space="preserve"> та інші нормативно-правові акти, зазначені в </w:t>
      </w:r>
      <w:proofErr w:type="spellStart"/>
      <w:r w:rsidR="006107ED">
        <w:rPr>
          <w:rFonts w:ascii="Times New Roman" w:eastAsia="Times New Roman" w:hAnsi="Times New Roman" w:cs="Times New Roman"/>
          <w:sz w:val="28"/>
          <w:szCs w:val="28"/>
        </w:rPr>
        <w:t>Проєкті</w:t>
      </w:r>
      <w:proofErr w:type="spellEnd"/>
      <w:r w:rsidR="006107ED">
        <w:rPr>
          <w:rFonts w:ascii="Times New Roman" w:eastAsia="Times New Roman" w:hAnsi="Times New Roman" w:cs="Times New Roman"/>
          <w:sz w:val="28"/>
          <w:szCs w:val="28"/>
        </w:rPr>
        <w:t xml:space="preserve"> постанови.</w:t>
      </w:r>
    </w:p>
    <w:p w14:paraId="2C3252B6"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rPr>
      </w:pPr>
    </w:p>
    <w:p w14:paraId="219BDA73"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Фінансово-економічне обґрунтування</w:t>
      </w:r>
    </w:p>
    <w:p w14:paraId="73182872"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Реалізація проекту постанови та фінансове забезпечення заходів з реалізації експериментального проекту здійснюватиметься </w:t>
      </w:r>
      <w:r>
        <w:rPr>
          <w:rFonts w:ascii="Times New Roman" w:eastAsia="Times New Roman" w:hAnsi="Times New Roman" w:cs="Times New Roman"/>
          <w:sz w:val="28"/>
          <w:szCs w:val="28"/>
        </w:rPr>
        <w:t>у межах залишків коштів спеціального фонду державного бюджету за КПКВК</w:t>
      </w:r>
      <w:r>
        <w:rPr>
          <w:rFonts w:ascii="Times New Roman" w:eastAsia="Times New Roman" w:hAnsi="Times New Roman" w:cs="Times New Roman"/>
          <w:color w:val="000000"/>
          <w:sz w:val="28"/>
          <w:szCs w:val="28"/>
        </w:rPr>
        <w:t xml:space="preserve"> 0412010</w:t>
      </w:r>
      <w:r>
        <w:rPr>
          <w:rFonts w:ascii="Times New Roman" w:eastAsia="Times New Roman" w:hAnsi="Times New Roman" w:cs="Times New Roman"/>
          <w:sz w:val="28"/>
          <w:szCs w:val="28"/>
        </w:rPr>
        <w:t xml:space="preserve"> та/або за  рахунок міжнародної технічної допомоги чи безповоротної фінансової допомоги в межах програм і грантів Європейського Союзу, урядів іноземних держав, міжнародних організацій, донорських установ та інших джерел, не заборонених законодавством.</w:t>
      </w:r>
    </w:p>
    <w:p w14:paraId="00D47FE0" w14:textId="77777777" w:rsidR="00897BE0" w:rsidRDefault="00000000">
      <w:pPr>
        <w:pBdr>
          <w:top w:val="nil"/>
          <w:left w:val="nil"/>
          <w:bottom w:val="nil"/>
          <w:right w:val="nil"/>
          <w:between w:val="nil"/>
        </w:pBdr>
        <w:shd w:val="clear" w:color="auto" w:fill="FFFFFF"/>
        <w:ind w:left="0" w:right="2"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33A5B8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Позиція заінтересованих сторін</w:t>
      </w:r>
    </w:p>
    <w:p w14:paraId="20D77D14"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w:t>
      </w:r>
    </w:p>
    <w:p w14:paraId="05E63E83"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постанови не стосується сфери наукової та науково-технічної діяльності та не потребує розгляду Науковим комітетом Національної ради України з питань розвитку науки і технологій. </w:t>
      </w:r>
    </w:p>
    <w:p w14:paraId="6CF8DDB0" w14:textId="059E42BE"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постанови з метою забезпечення громадського обговорення </w:t>
      </w:r>
      <w:r w:rsidR="005A6B10">
        <w:rPr>
          <w:rFonts w:ascii="Times New Roman" w:eastAsia="Times New Roman" w:hAnsi="Times New Roman" w:cs="Times New Roman"/>
          <w:color w:val="000000"/>
          <w:sz w:val="28"/>
          <w:szCs w:val="28"/>
        </w:rPr>
        <w:t xml:space="preserve">буде </w:t>
      </w:r>
      <w:r>
        <w:rPr>
          <w:rFonts w:ascii="Times New Roman" w:eastAsia="Times New Roman" w:hAnsi="Times New Roman" w:cs="Times New Roman"/>
          <w:color w:val="000000"/>
          <w:sz w:val="28"/>
          <w:szCs w:val="28"/>
        </w:rPr>
        <w:t>опубліковано на офіційному вебсайті</w:t>
      </w:r>
      <w:r>
        <w:rPr>
          <w:rFonts w:ascii="Times New Roman" w:eastAsia="Times New Roman" w:hAnsi="Times New Roman" w:cs="Times New Roman"/>
          <w:sz w:val="28"/>
          <w:szCs w:val="28"/>
        </w:rPr>
        <w:t xml:space="preserve"> Держпродспоживслужби</w:t>
      </w:r>
      <w:r>
        <w:rPr>
          <w:rFonts w:ascii="Times New Roman" w:eastAsia="Times New Roman" w:hAnsi="Times New Roman" w:cs="Times New Roman"/>
          <w:color w:val="000000"/>
          <w:sz w:val="28"/>
          <w:szCs w:val="28"/>
        </w:rPr>
        <w:t>.</w:t>
      </w:r>
    </w:p>
    <w:p w14:paraId="225D8853"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7943947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Оцінка відповідності</w:t>
      </w:r>
    </w:p>
    <w:p w14:paraId="30A3A1E7"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постанови містить положення, що стосуються зобов’язань України у сфері європейської інтеграції, а саме зобов’язань, передбачених статтею 64 Угоди про асоціацію.</w:t>
      </w:r>
    </w:p>
    <w:p w14:paraId="1086DA63"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Згідно з абзацом двадцятим частини другої статті 3 Закону </w:t>
      </w:r>
      <w:proofErr w:type="spellStart"/>
      <w:r>
        <w:rPr>
          <w:rFonts w:ascii="Times New Roman" w:eastAsia="Times New Roman" w:hAnsi="Times New Roman" w:cs="Times New Roman"/>
          <w:color w:val="000000"/>
          <w:sz w:val="28"/>
          <w:szCs w:val="28"/>
        </w:rPr>
        <w:t>України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Про засади </w:t>
      </w:r>
      <w:proofErr w:type="spellStart"/>
      <w:r>
        <w:rPr>
          <w:rFonts w:ascii="Times New Roman" w:eastAsia="Times New Roman" w:hAnsi="Times New Roman" w:cs="Times New Roman"/>
          <w:color w:val="000000"/>
          <w:sz w:val="28"/>
          <w:szCs w:val="28"/>
        </w:rPr>
        <w:t>державноі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регуляторноі</w:t>
      </w:r>
      <w:proofErr w:type="spellEnd"/>
      <w:r>
        <w:rPr>
          <w:rFonts w:ascii="Times New Roman" w:eastAsia="Times New Roman" w:hAnsi="Times New Roman" w:cs="Times New Roman"/>
          <w:color w:val="000000"/>
          <w:sz w:val="28"/>
          <w:szCs w:val="28"/>
        </w:rPr>
        <w:t xml:space="preserve">̈ політики у сфері </w:t>
      </w:r>
      <w:proofErr w:type="spellStart"/>
      <w:r>
        <w:rPr>
          <w:rFonts w:ascii="Times New Roman" w:eastAsia="Times New Roman" w:hAnsi="Times New Roman" w:cs="Times New Roman"/>
          <w:color w:val="000000"/>
          <w:sz w:val="28"/>
          <w:szCs w:val="28"/>
        </w:rPr>
        <w:t>господарськоі</w:t>
      </w:r>
      <w:proofErr w:type="spellEnd"/>
      <w:r>
        <w:rPr>
          <w:rFonts w:ascii="Times New Roman" w:eastAsia="Times New Roman" w:hAnsi="Times New Roman" w:cs="Times New Roman"/>
          <w:color w:val="000000"/>
          <w:sz w:val="28"/>
          <w:szCs w:val="28"/>
        </w:rPr>
        <w:t>̈ діяльності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на проект постанови не поширюється дія цього Закону на </w:t>
      </w:r>
      <w:proofErr w:type="spellStart"/>
      <w:r>
        <w:rPr>
          <w:rFonts w:ascii="Times New Roman" w:eastAsia="Times New Roman" w:hAnsi="Times New Roman" w:cs="Times New Roman"/>
          <w:color w:val="000000"/>
          <w:sz w:val="28"/>
          <w:szCs w:val="28"/>
        </w:rPr>
        <w:t>здійснення</w:t>
      </w:r>
      <w:proofErr w:type="spellEnd"/>
      <w:r>
        <w:rPr>
          <w:rFonts w:ascii="Times New Roman" w:eastAsia="Times New Roman" w:hAnsi="Times New Roman" w:cs="Times New Roman"/>
          <w:color w:val="000000"/>
          <w:sz w:val="28"/>
          <w:szCs w:val="28"/>
        </w:rPr>
        <w:t xml:space="preserve"> регуляторної діяльності, оскільки, проект постанови містить положення, спрямовані на виконання Угоди про асоціацію, у тому числі додатків до </w:t>
      </w:r>
      <w:proofErr w:type="spellStart"/>
      <w:r>
        <w:rPr>
          <w:rFonts w:ascii="Times New Roman" w:eastAsia="Times New Roman" w:hAnsi="Times New Roman" w:cs="Times New Roman"/>
          <w:color w:val="000000"/>
          <w:sz w:val="28"/>
          <w:szCs w:val="28"/>
        </w:rPr>
        <w:t>неі</w:t>
      </w:r>
      <w:proofErr w:type="spellEnd"/>
      <w:r>
        <w:rPr>
          <w:rFonts w:ascii="Times New Roman" w:eastAsia="Times New Roman" w:hAnsi="Times New Roman" w:cs="Times New Roman"/>
          <w:color w:val="000000"/>
          <w:sz w:val="28"/>
          <w:szCs w:val="28"/>
        </w:rPr>
        <w:t xml:space="preserve">̈, відповідно проект постанови не потребує погодження з Державною регуляторною службою України. </w:t>
      </w:r>
    </w:p>
    <w:p w14:paraId="2074B5AC"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постанови, не містить норм, що порушують права та свободи, гарантовані Конвенцією про захист прав людини і основоположних свобод 1950 року.</w:t>
      </w:r>
    </w:p>
    <w:p w14:paraId="386A59AE"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постанови відсутні положення, які впливають на забезпечення рівних прав та можливостей жінок і чоловіків, які містять ризики вчинення  </w:t>
      </w:r>
      <w:r>
        <w:rPr>
          <w:rFonts w:ascii="Times New Roman" w:eastAsia="Times New Roman" w:hAnsi="Times New Roman" w:cs="Times New Roman"/>
          <w:color w:val="000000"/>
          <w:sz w:val="28"/>
          <w:szCs w:val="28"/>
        </w:rPr>
        <w:lastRenderedPageBreak/>
        <w:t>корупційних правопорушень та правопорушень, пов’язаних з корупцією та створюють підстави для дискримінації.</w:t>
      </w:r>
    </w:p>
    <w:p w14:paraId="62FF4C03"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постанови не потребує проведення громадської </w:t>
      </w:r>
      <w:proofErr w:type="spellStart"/>
      <w:r>
        <w:rPr>
          <w:rFonts w:ascii="Times New Roman" w:eastAsia="Times New Roman" w:hAnsi="Times New Roman" w:cs="Times New Roman"/>
          <w:color w:val="000000"/>
          <w:sz w:val="28"/>
          <w:szCs w:val="28"/>
        </w:rPr>
        <w:t>антидискримінаційної</w:t>
      </w:r>
      <w:proofErr w:type="spellEnd"/>
      <w:r>
        <w:rPr>
          <w:rFonts w:ascii="Times New Roman" w:eastAsia="Times New Roman" w:hAnsi="Times New Roman" w:cs="Times New Roman"/>
          <w:color w:val="000000"/>
          <w:sz w:val="28"/>
          <w:szCs w:val="28"/>
        </w:rPr>
        <w:t xml:space="preserve"> та громадської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-правової експертизи.</w:t>
      </w:r>
    </w:p>
    <w:p w14:paraId="77140D31" w14:textId="77777777" w:rsidR="00897BE0" w:rsidRDefault="00000000" w:rsidP="00486A97">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постанови буде направлено до Національного агентства з питань запобігання корупції для проведення антикорупційної експертизи.</w:t>
      </w:r>
    </w:p>
    <w:p w14:paraId="574B058A"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742058F8"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Прогноз результатів</w:t>
      </w:r>
    </w:p>
    <w:p w14:paraId="18021A22" w14:textId="77777777" w:rsidR="00897BE0" w:rsidRDefault="00000000" w:rsidP="00D67BC1">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проекту постанови матиме позитивний вплив на операторів ринку, а також на державні органи та громадян, ринкове середовище, розвиток міжнародної торгівлі, забезпечення прав та інтересів споживачів, держави, суб’єктів господарювання та забезпечує виконання зобов’язань України у сфері європейської інтеграції, а також вимог національного законодавства щодо регулювання системи швидкого повідомлення про загрози, пов’язані з харчовими продуктами, кормами та процедурами видачі ветеринарних документів.</w:t>
      </w:r>
    </w:p>
    <w:p w14:paraId="23B13D88" w14:textId="77777777" w:rsidR="00897BE0" w:rsidRDefault="00000000" w:rsidP="00D67BC1">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проекту постанови за предметом правового регулювання не матиме негативного впливу на:</w:t>
      </w:r>
    </w:p>
    <w:p w14:paraId="61924034"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ринок праці, рівень зайнятості населення, ринкове середовище;</w:t>
      </w:r>
    </w:p>
    <w:p w14:paraId="42B5F4C4"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розвиток регіонів, підвищення чи зниження спроможності територіальних громад;</w:t>
      </w:r>
    </w:p>
    <w:p w14:paraId="597BCFE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захисту прав та інтересів суб’єктів господарювання, громадян і держави;</w:t>
      </w:r>
    </w:p>
    <w:p w14:paraId="7DE4B74C"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4A58D6A5" w14:textId="77777777" w:rsidR="00897BE0" w:rsidRDefault="00000000" w:rsidP="00D67BC1">
      <w:pPr>
        <w:pBdr>
          <w:top w:val="nil"/>
          <w:left w:val="nil"/>
          <w:bottom w:val="nil"/>
          <w:right w:val="nil"/>
          <w:between w:val="nil"/>
        </w:pBdr>
        <w:spacing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проекту постанови матиме вплив на інтереси зацікавлених сторін:</w:t>
      </w:r>
    </w:p>
    <w:p w14:paraId="4D2F517B"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tbl>
      <w:tblPr>
        <w:tblStyle w:val="ae"/>
        <w:tblW w:w="9639"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125"/>
        <w:gridCol w:w="3404"/>
        <w:gridCol w:w="4110"/>
      </w:tblGrid>
      <w:tr w:rsidR="00897BE0" w14:paraId="705A2D80" w14:textId="77777777">
        <w:trPr>
          <w:trHeight w:val="646"/>
        </w:trPr>
        <w:tc>
          <w:tcPr>
            <w:tcW w:w="21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B55B7D9"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Заінтересована сторона</w:t>
            </w:r>
          </w:p>
        </w:tc>
        <w:tc>
          <w:tcPr>
            <w:tcW w:w="340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7AC358"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Вплив реалізації акта на заінтересовану сторону</w:t>
            </w:r>
          </w:p>
        </w:tc>
        <w:tc>
          <w:tcPr>
            <w:tcW w:w="41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AA4D3B3"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Пояснення очікуваного впливу</w:t>
            </w:r>
          </w:p>
        </w:tc>
      </w:tr>
      <w:tr w:rsidR="00897BE0" w14:paraId="63303EBD" w14:textId="77777777">
        <w:trPr>
          <w:trHeight w:val="990"/>
        </w:trPr>
        <w:tc>
          <w:tcPr>
            <w:tcW w:w="21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907F89"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Оператори ринку</w:t>
            </w:r>
          </w:p>
          <w:p w14:paraId="18798450" w14:textId="77777777" w:rsidR="00897BE0" w:rsidRDefault="00897BE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p>
        </w:tc>
        <w:tc>
          <w:tcPr>
            <w:tcW w:w="340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8D5A6DD"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Зменшення адміністративного навантаження.</w:t>
            </w:r>
          </w:p>
          <w:p w14:paraId="076F2FCD"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Зменшення строку розгляду та прийняття рішень.</w:t>
            </w:r>
          </w:p>
          <w:p w14:paraId="4F8971D6"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66E0F894"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Короткостроковий вплив (до року): позитивний.</w:t>
            </w:r>
          </w:p>
          <w:p w14:paraId="5FAD3DCD"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Середньостроковий вплив (більше року): позитивний.</w:t>
            </w:r>
          </w:p>
        </w:tc>
        <w:tc>
          <w:tcPr>
            <w:tcW w:w="41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28BADD"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Прийняття проекту постанови дозволить здійснювати автоматичну державну реєстрацію потужності в режимі реального часу під час формування та подання заяви оператором ринку в електронній формі </w:t>
            </w:r>
            <w:r>
              <w:rPr>
                <w:rFonts w:ascii="Times New Roman" w:eastAsia="Times New Roman" w:hAnsi="Times New Roman" w:cs="Times New Roman"/>
                <w:sz w:val="26"/>
                <w:szCs w:val="26"/>
              </w:rPr>
              <w:t xml:space="preserve">програмними засобами порталу електронної системи через електронний кабінет та/або електронний кабінет </w:t>
            </w:r>
            <w:r>
              <w:rPr>
                <w:rFonts w:ascii="Times New Roman" w:eastAsia="Times New Roman" w:hAnsi="Times New Roman" w:cs="Times New Roman"/>
                <w:color w:val="000000"/>
                <w:sz w:val="26"/>
                <w:szCs w:val="26"/>
              </w:rPr>
              <w:t>Порталу Дія. Строки надання послуги скорочуються.</w:t>
            </w:r>
          </w:p>
          <w:p w14:paraId="79957E82"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Видача експлуатаційного дозволу здійснюватиметься </w:t>
            </w:r>
            <w:r>
              <w:rPr>
                <w:rFonts w:ascii="Times New Roman" w:eastAsia="Times New Roman" w:hAnsi="Times New Roman" w:cs="Times New Roman"/>
                <w:sz w:val="26"/>
                <w:szCs w:val="26"/>
              </w:rPr>
              <w:t xml:space="preserve">програмними засобами порталу електронної </w:t>
            </w:r>
            <w:r>
              <w:rPr>
                <w:rFonts w:ascii="Times New Roman" w:eastAsia="Times New Roman" w:hAnsi="Times New Roman" w:cs="Times New Roman"/>
                <w:sz w:val="26"/>
                <w:szCs w:val="26"/>
              </w:rPr>
              <w:lastRenderedPageBreak/>
              <w:t>системи через електронний кабінет та/або електронний кабінет</w:t>
            </w:r>
            <w:r>
              <w:rPr>
                <w:rFonts w:ascii="Times New Roman" w:eastAsia="Times New Roman" w:hAnsi="Times New Roman" w:cs="Times New Roman"/>
                <w:color w:val="000000"/>
                <w:sz w:val="26"/>
                <w:szCs w:val="26"/>
              </w:rPr>
              <w:t xml:space="preserve"> Порталу Дія, в скорочені строки, з урахуванням оцифрованої процедури інспектування.</w:t>
            </w:r>
          </w:p>
          <w:p w14:paraId="77233357"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Крім того, оператори ринку матимуть змогу накопичувати в хронологічному порядку інформацію щодо власної діяльності за рахунок «картки оператора ринку».</w:t>
            </w:r>
          </w:p>
          <w:p w14:paraId="1C758306"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Вся інформація щодо державних реєстрацій потужностей та виданих експлуатаційних дозволів зберігатиметься в одному Державному реєстрі операторів ринку.</w:t>
            </w:r>
          </w:p>
        </w:tc>
      </w:tr>
      <w:tr w:rsidR="00897BE0" w14:paraId="6F7A0978" w14:textId="77777777">
        <w:trPr>
          <w:trHeight w:val="990"/>
        </w:trPr>
        <w:tc>
          <w:tcPr>
            <w:tcW w:w="21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E3D664"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Територіальні органи компетентного органу</w:t>
            </w:r>
          </w:p>
        </w:tc>
        <w:tc>
          <w:tcPr>
            <w:tcW w:w="340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A48C39"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Зменшення адміністративного навантаження.</w:t>
            </w:r>
          </w:p>
          <w:p w14:paraId="52A45500"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Автоматизація послуг щодо державної реєстрації потужності.</w:t>
            </w:r>
          </w:p>
          <w:p w14:paraId="055DC93B"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79FD82F2"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Короткостроковий вплив (до року): позитивний.</w:t>
            </w:r>
          </w:p>
          <w:p w14:paraId="0D9565B1"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Середньостроковий вплив (більше року): позитивний.</w:t>
            </w:r>
          </w:p>
        </w:tc>
        <w:tc>
          <w:tcPr>
            <w:tcW w:w="41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6B00CE"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Прийняття проекту постанови сприятиме забезпеченню впровадження європейських підходів та практик для комп’ютеризованого опрацювання та обміну інформацією, даними та</w:t>
            </w:r>
          </w:p>
          <w:p w14:paraId="1F0ABFF2"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документами в системі управління інформацією для офіційного контролю (IMSOC), необхідні для здійснення офіційного контролю, передбаченого в Регламенті (ЄС) 2017/625.</w:t>
            </w:r>
          </w:p>
          <w:p w14:paraId="7A7269F9"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Прийняття проекту постанови надасть можливість запровадити автоматичну перевірку достовірності та повноти даних, поданої оператором ринку у заявах на державну реєстрацію потужності та видачу експлуатаційного дозволу, шляхом запровадження отримання необхідних відомостей у порядку інформаційної взаємодії державних електронних інформаційних ресурсів та інформаційних систем.</w:t>
            </w:r>
          </w:p>
          <w:p w14:paraId="1258651A"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Вся інформація щодо державних реєстрацій потужностей та виданих експлуатаційних дозволів зберігатиметься в одному </w:t>
            </w:r>
            <w:r>
              <w:rPr>
                <w:rFonts w:ascii="Times New Roman" w:eastAsia="Times New Roman" w:hAnsi="Times New Roman" w:cs="Times New Roman"/>
                <w:color w:val="000000"/>
                <w:sz w:val="26"/>
                <w:szCs w:val="26"/>
              </w:rPr>
              <w:lastRenderedPageBreak/>
              <w:t>Державному реєстрі операторів ринку.</w:t>
            </w:r>
          </w:p>
          <w:p w14:paraId="642B62CC" w14:textId="77777777" w:rsidR="00897BE0"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Залучення нових суб’єктів господарювання на ринок.</w:t>
            </w:r>
          </w:p>
        </w:tc>
      </w:tr>
      <w:tr w:rsidR="00897BE0" w14:paraId="39EE83C7" w14:textId="77777777">
        <w:trPr>
          <w:trHeight w:val="268"/>
        </w:trPr>
        <w:tc>
          <w:tcPr>
            <w:tcW w:w="21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CA26D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Громадяни</w:t>
            </w:r>
          </w:p>
        </w:tc>
        <w:tc>
          <w:tcPr>
            <w:tcW w:w="340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142109A"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Короткостроковий вплив (до року): позитивний.</w:t>
            </w:r>
          </w:p>
          <w:p w14:paraId="3E83CABF"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Середньостроковий вплив (більше року): позитивний.</w:t>
            </w:r>
          </w:p>
        </w:tc>
        <w:tc>
          <w:tcPr>
            <w:tcW w:w="41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105E351" w14:textId="77777777" w:rsidR="00897BE0" w:rsidRDefault="00000000">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Після прийняття проекту постанови можливим стане відстеження привабливих регіонів для планування власної господарської діяльності за рахунок Електронної мапи привабливості регіонів.</w:t>
            </w:r>
          </w:p>
        </w:tc>
      </w:tr>
    </w:tbl>
    <w:p w14:paraId="0E422B9C" w14:textId="77777777" w:rsidR="00897BE0" w:rsidRDefault="00897BE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bl>
      <w:tblPr>
        <w:tblStyle w:val="af"/>
        <w:tblW w:w="10353"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4143"/>
        <w:gridCol w:w="2670"/>
        <w:gridCol w:w="3540"/>
      </w:tblGrid>
      <w:tr w:rsidR="00897BE0" w14:paraId="449A59FF" w14:textId="77777777" w:rsidTr="00450410">
        <w:trPr>
          <w:trHeight w:val="1522"/>
        </w:trPr>
        <w:tc>
          <w:tcPr>
            <w:tcW w:w="4143"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tcPr>
          <w:p w14:paraId="716B7AE6" w14:textId="101D726C" w:rsidR="00897BE0" w:rsidRPr="0006318E" w:rsidRDefault="0006318E" w:rsidP="00450410">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Голова </w:t>
            </w:r>
            <w:r w:rsidR="00450410">
              <w:rPr>
                <w:rFonts w:ascii="Times New Roman" w:eastAsia="Times New Roman" w:hAnsi="Times New Roman" w:cs="Times New Roman"/>
                <w:b/>
                <w:sz w:val="28"/>
                <w:szCs w:val="28"/>
              </w:rPr>
              <w:t>Державної служби України з питань безпечності харчових продуктів та захисту споживачів</w:t>
            </w:r>
            <w:r>
              <w:rPr>
                <w:rFonts w:ascii="Times New Roman" w:eastAsia="Times New Roman" w:hAnsi="Times New Roman" w:cs="Times New Roman"/>
                <w:b/>
                <w:sz w:val="28"/>
                <w:szCs w:val="28"/>
              </w:rPr>
              <w:t xml:space="preserve">                                                           </w:t>
            </w:r>
          </w:p>
        </w:tc>
        <w:tc>
          <w:tcPr>
            <w:tcW w:w="2670" w:type="dxa"/>
            <w:tcBorders>
              <w:top w:val="single" w:sz="6" w:space="0" w:color="FFFFFF"/>
              <w:left w:val="nil"/>
              <w:bottom w:val="single" w:sz="6" w:space="0" w:color="FFFFFF"/>
              <w:right w:val="single" w:sz="6" w:space="0" w:color="FFFFFF"/>
            </w:tcBorders>
            <w:tcMar>
              <w:top w:w="40" w:type="dxa"/>
              <w:left w:w="40" w:type="dxa"/>
              <w:bottom w:w="40" w:type="dxa"/>
              <w:right w:w="40" w:type="dxa"/>
            </w:tcMar>
          </w:tcPr>
          <w:p w14:paraId="4356BB98" w14:textId="77777777" w:rsidR="00897BE0" w:rsidRDefault="00000000">
            <w:pPr>
              <w:pBdr>
                <w:top w:val="nil"/>
                <w:left w:val="nil"/>
                <w:bottom w:val="nil"/>
                <w:right w:val="nil"/>
                <w:between w:val="nil"/>
              </w:pBdr>
              <w:ind w:left="1" w:right="-28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7167A1BD" w14:textId="2C95AF66" w:rsidR="00897BE0" w:rsidRPr="0006318E" w:rsidRDefault="00000000" w:rsidP="0006318E">
            <w:pPr>
              <w:pBdr>
                <w:top w:val="nil"/>
                <w:left w:val="nil"/>
                <w:bottom w:val="nil"/>
                <w:right w:val="nil"/>
                <w:between w:val="nil"/>
              </w:pBdr>
              <w:ind w:leftChars="-1649" w:left="-3628" w:right="-281" w:firstLineChars="1295" w:firstLine="3626"/>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0631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6318E">
              <w:rPr>
                <w:rFonts w:ascii="Times New Roman" w:eastAsia="Times New Roman" w:hAnsi="Times New Roman" w:cs="Times New Roman"/>
                <w:sz w:val="28"/>
                <w:szCs w:val="28"/>
              </w:rPr>
              <w:t xml:space="preserve">                 </w:t>
            </w:r>
          </w:p>
        </w:tc>
        <w:tc>
          <w:tcPr>
            <w:tcW w:w="3540" w:type="dxa"/>
            <w:tcBorders>
              <w:top w:val="single" w:sz="6" w:space="0" w:color="FFFFFF"/>
              <w:left w:val="nil"/>
              <w:bottom w:val="single" w:sz="6" w:space="0" w:color="FFFFFF"/>
              <w:right w:val="single" w:sz="6" w:space="0" w:color="FFFFFF"/>
            </w:tcBorders>
            <w:tcMar>
              <w:top w:w="40" w:type="dxa"/>
              <w:left w:w="40" w:type="dxa"/>
              <w:bottom w:w="40" w:type="dxa"/>
              <w:right w:w="40" w:type="dxa"/>
            </w:tcMar>
          </w:tcPr>
          <w:p w14:paraId="05EF4EB9" w14:textId="77777777" w:rsidR="0006318E" w:rsidRDefault="00000000" w:rsidP="002769DE">
            <w:pPr>
              <w:pBdr>
                <w:top w:val="nil"/>
                <w:left w:val="nil"/>
                <w:bottom w:val="nil"/>
                <w:right w:val="nil"/>
                <w:between w:val="nil"/>
              </w:pBdr>
              <w:ind w:left="1212" w:right="-281" w:hangingChars="432" w:hanging="12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14:paraId="75D2BD72" w14:textId="77777777" w:rsidR="00450410" w:rsidRDefault="0006318E" w:rsidP="002769DE">
            <w:pPr>
              <w:pBdr>
                <w:top w:val="nil"/>
                <w:left w:val="nil"/>
                <w:bottom w:val="nil"/>
                <w:right w:val="nil"/>
                <w:between w:val="nil"/>
              </w:pBdr>
              <w:ind w:left="1212" w:right="-281" w:hangingChars="432" w:hanging="12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6F607BC" w14:textId="77777777" w:rsidR="00450410" w:rsidRDefault="00450410" w:rsidP="002769DE">
            <w:pPr>
              <w:pBdr>
                <w:top w:val="nil"/>
                <w:left w:val="nil"/>
                <w:bottom w:val="nil"/>
                <w:right w:val="nil"/>
                <w:between w:val="nil"/>
              </w:pBdr>
              <w:ind w:left="1212" w:right="-281" w:hangingChars="432" w:hanging="1214"/>
              <w:rPr>
                <w:rFonts w:ascii="Times New Roman" w:eastAsia="Times New Roman" w:hAnsi="Times New Roman" w:cs="Times New Roman"/>
                <w:b/>
                <w:sz w:val="28"/>
                <w:szCs w:val="28"/>
              </w:rPr>
            </w:pPr>
          </w:p>
          <w:p w14:paraId="2FB4C29A" w14:textId="33ED2C16" w:rsidR="00897BE0" w:rsidRDefault="00450410" w:rsidP="002769DE">
            <w:pPr>
              <w:pBdr>
                <w:top w:val="nil"/>
                <w:left w:val="nil"/>
                <w:bottom w:val="nil"/>
                <w:right w:val="nil"/>
                <w:between w:val="nil"/>
              </w:pBdr>
              <w:ind w:left="1212" w:right="-281" w:hangingChars="432" w:hanging="12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6318E">
              <w:rPr>
                <w:rFonts w:ascii="Times New Roman" w:eastAsia="Times New Roman" w:hAnsi="Times New Roman" w:cs="Times New Roman"/>
                <w:b/>
                <w:sz w:val="28"/>
                <w:szCs w:val="28"/>
              </w:rPr>
              <w:t>Сергій ТКАЧУК</w:t>
            </w:r>
          </w:p>
        </w:tc>
      </w:tr>
      <w:tr w:rsidR="00897BE0" w14:paraId="342CFCC6" w14:textId="77777777" w:rsidTr="00450410">
        <w:trPr>
          <w:trHeight w:val="435"/>
        </w:trPr>
        <w:tc>
          <w:tcPr>
            <w:tcW w:w="4143" w:type="dxa"/>
            <w:tcBorders>
              <w:top w:val="nil"/>
              <w:left w:val="single" w:sz="6" w:space="0" w:color="FFFFFF"/>
              <w:bottom w:val="single" w:sz="6" w:space="0" w:color="FFFFFF"/>
              <w:right w:val="single" w:sz="6" w:space="0" w:color="FFFFFF"/>
            </w:tcBorders>
            <w:tcMar>
              <w:top w:w="40" w:type="dxa"/>
              <w:left w:w="40" w:type="dxa"/>
              <w:bottom w:w="40" w:type="dxa"/>
              <w:right w:w="40" w:type="dxa"/>
            </w:tcMar>
          </w:tcPr>
          <w:p w14:paraId="5FAEE938" w14:textId="77777777" w:rsidR="002769DE" w:rsidRDefault="002769DE">
            <w:pPr>
              <w:pBdr>
                <w:top w:val="nil"/>
                <w:left w:val="nil"/>
                <w:bottom w:val="nil"/>
                <w:right w:val="nil"/>
                <w:between w:val="nil"/>
              </w:pBdr>
              <w:ind w:left="1" w:right="-281" w:hanging="3"/>
              <w:jc w:val="both"/>
              <w:rPr>
                <w:rFonts w:ascii="Times New Roman" w:eastAsia="Times New Roman" w:hAnsi="Times New Roman" w:cs="Times New Roman"/>
                <w:color w:val="000000"/>
                <w:sz w:val="28"/>
                <w:szCs w:val="28"/>
              </w:rPr>
            </w:pPr>
          </w:p>
          <w:p w14:paraId="35D74B87" w14:textId="77777777" w:rsidR="002769DE" w:rsidRDefault="002769DE">
            <w:pPr>
              <w:pBdr>
                <w:top w:val="nil"/>
                <w:left w:val="nil"/>
                <w:bottom w:val="nil"/>
                <w:right w:val="nil"/>
                <w:between w:val="nil"/>
              </w:pBdr>
              <w:ind w:left="1" w:right="-281" w:hanging="3"/>
              <w:jc w:val="both"/>
              <w:rPr>
                <w:rFonts w:ascii="Times New Roman" w:eastAsia="Times New Roman" w:hAnsi="Times New Roman" w:cs="Times New Roman"/>
                <w:color w:val="000000"/>
                <w:sz w:val="28"/>
                <w:szCs w:val="28"/>
              </w:rPr>
            </w:pPr>
          </w:p>
          <w:p w14:paraId="707B737C" w14:textId="5435FA7C" w:rsidR="00897BE0" w:rsidRDefault="00000000">
            <w:pPr>
              <w:pBdr>
                <w:top w:val="nil"/>
                <w:left w:val="nil"/>
                <w:bottom w:val="nil"/>
                <w:right w:val="nil"/>
                <w:between w:val="nil"/>
              </w:pBdr>
              <w:ind w:left="1" w:right="-28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 2025 р.</w:t>
            </w:r>
          </w:p>
        </w:tc>
        <w:tc>
          <w:tcPr>
            <w:tcW w:w="2670" w:type="dxa"/>
            <w:tcBorders>
              <w:top w:val="nil"/>
              <w:left w:val="nil"/>
              <w:bottom w:val="single" w:sz="6" w:space="0" w:color="FFFFFF"/>
              <w:right w:val="single" w:sz="6" w:space="0" w:color="FFFFFF"/>
            </w:tcBorders>
            <w:tcMar>
              <w:top w:w="40" w:type="dxa"/>
              <w:left w:w="40" w:type="dxa"/>
              <w:bottom w:w="40" w:type="dxa"/>
              <w:right w:w="40" w:type="dxa"/>
            </w:tcMar>
          </w:tcPr>
          <w:p w14:paraId="4B0A52CF" w14:textId="77777777" w:rsidR="00897BE0" w:rsidRDefault="00000000">
            <w:pPr>
              <w:pBdr>
                <w:top w:val="nil"/>
                <w:left w:val="nil"/>
                <w:bottom w:val="nil"/>
                <w:right w:val="nil"/>
                <w:between w:val="nil"/>
              </w:pBdr>
              <w:ind w:left="1" w:right="-28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540" w:type="dxa"/>
            <w:tcBorders>
              <w:top w:val="nil"/>
              <w:left w:val="nil"/>
              <w:bottom w:val="single" w:sz="6" w:space="0" w:color="FFFFFF"/>
              <w:right w:val="single" w:sz="6" w:space="0" w:color="FFFFFF"/>
            </w:tcBorders>
            <w:tcMar>
              <w:top w:w="40" w:type="dxa"/>
              <w:left w:w="40" w:type="dxa"/>
              <w:bottom w:w="40" w:type="dxa"/>
              <w:right w:w="40" w:type="dxa"/>
            </w:tcMar>
          </w:tcPr>
          <w:p w14:paraId="6617A54A" w14:textId="77777777" w:rsidR="00897BE0" w:rsidRDefault="00000000">
            <w:pPr>
              <w:pBdr>
                <w:top w:val="nil"/>
                <w:left w:val="nil"/>
                <w:bottom w:val="nil"/>
                <w:right w:val="nil"/>
                <w:between w:val="nil"/>
              </w:pBdr>
              <w:ind w:left="1" w:right="-28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bl>
    <w:p w14:paraId="3CE9F931" w14:textId="77777777" w:rsidR="00897BE0" w:rsidRDefault="00897BE0">
      <w:pPr>
        <w:spacing w:line="257" w:lineRule="auto"/>
        <w:ind w:left="0" w:hanging="2"/>
        <w:rPr>
          <w:rFonts w:ascii="Times New Roman" w:eastAsia="Times New Roman" w:hAnsi="Times New Roman" w:cs="Times New Roman"/>
        </w:rPr>
      </w:pPr>
    </w:p>
    <w:p w14:paraId="61B0F138" w14:textId="77777777" w:rsidR="002769DE" w:rsidRDefault="002769DE">
      <w:pPr>
        <w:spacing w:line="257" w:lineRule="auto"/>
        <w:ind w:left="0" w:hanging="2"/>
        <w:rPr>
          <w:rFonts w:ascii="Times New Roman" w:eastAsia="Times New Roman" w:hAnsi="Times New Roman" w:cs="Times New Roman"/>
        </w:rPr>
      </w:pPr>
    </w:p>
    <w:p w14:paraId="420CAB61" w14:textId="77777777" w:rsidR="002769DE" w:rsidRDefault="002769DE">
      <w:pPr>
        <w:spacing w:line="257" w:lineRule="auto"/>
        <w:ind w:left="0" w:hanging="2"/>
        <w:rPr>
          <w:rFonts w:ascii="Times New Roman" w:eastAsia="Times New Roman" w:hAnsi="Times New Roman" w:cs="Times New Roman"/>
        </w:rPr>
      </w:pPr>
    </w:p>
    <w:p w14:paraId="4ED2175A" w14:textId="77777777" w:rsidR="002769DE" w:rsidRDefault="002769DE">
      <w:pPr>
        <w:spacing w:line="257" w:lineRule="auto"/>
        <w:ind w:left="0" w:hanging="2"/>
        <w:rPr>
          <w:rFonts w:ascii="Times New Roman" w:eastAsia="Times New Roman" w:hAnsi="Times New Roman" w:cs="Times New Roman"/>
        </w:rPr>
      </w:pPr>
    </w:p>
    <w:p w14:paraId="05261245" w14:textId="77777777" w:rsidR="002769DE" w:rsidRDefault="002769DE">
      <w:pPr>
        <w:spacing w:line="257" w:lineRule="auto"/>
        <w:ind w:left="0" w:hanging="2"/>
        <w:rPr>
          <w:rFonts w:ascii="Times New Roman" w:eastAsia="Times New Roman" w:hAnsi="Times New Roman" w:cs="Times New Roman"/>
        </w:rPr>
      </w:pPr>
    </w:p>
    <w:p w14:paraId="73835AA5" w14:textId="77777777" w:rsidR="002769DE" w:rsidRDefault="002769DE">
      <w:pPr>
        <w:spacing w:line="257" w:lineRule="auto"/>
        <w:ind w:left="0" w:hanging="2"/>
        <w:rPr>
          <w:rFonts w:ascii="Times New Roman" w:eastAsia="Times New Roman" w:hAnsi="Times New Roman" w:cs="Times New Roman"/>
        </w:rPr>
      </w:pPr>
    </w:p>
    <w:p w14:paraId="638652B8" w14:textId="77777777" w:rsidR="002769DE" w:rsidRDefault="002769DE">
      <w:pPr>
        <w:spacing w:line="257" w:lineRule="auto"/>
        <w:ind w:left="0" w:hanging="2"/>
        <w:rPr>
          <w:rFonts w:ascii="Times New Roman" w:eastAsia="Times New Roman" w:hAnsi="Times New Roman" w:cs="Times New Roman"/>
        </w:rPr>
      </w:pPr>
    </w:p>
    <w:p w14:paraId="7A765459" w14:textId="77777777" w:rsidR="002769DE" w:rsidRDefault="002769DE">
      <w:pPr>
        <w:spacing w:line="257" w:lineRule="auto"/>
        <w:ind w:left="0" w:hanging="2"/>
        <w:rPr>
          <w:rFonts w:ascii="Times New Roman" w:eastAsia="Times New Roman" w:hAnsi="Times New Roman" w:cs="Times New Roman"/>
        </w:rPr>
      </w:pPr>
    </w:p>
    <w:p w14:paraId="0BB0281A" w14:textId="77777777" w:rsidR="002769DE" w:rsidRDefault="002769DE">
      <w:pPr>
        <w:spacing w:line="257" w:lineRule="auto"/>
        <w:ind w:left="0" w:hanging="2"/>
        <w:rPr>
          <w:rFonts w:ascii="Times New Roman" w:eastAsia="Times New Roman" w:hAnsi="Times New Roman" w:cs="Times New Roman"/>
        </w:rPr>
      </w:pPr>
    </w:p>
    <w:p w14:paraId="7C36D187" w14:textId="77777777" w:rsidR="002769DE" w:rsidRDefault="002769DE">
      <w:pPr>
        <w:spacing w:line="257" w:lineRule="auto"/>
        <w:ind w:left="0" w:hanging="2"/>
        <w:rPr>
          <w:rFonts w:ascii="Times New Roman" w:eastAsia="Times New Roman" w:hAnsi="Times New Roman" w:cs="Times New Roman"/>
        </w:rPr>
      </w:pPr>
    </w:p>
    <w:p w14:paraId="54447EFE" w14:textId="77777777" w:rsidR="002769DE" w:rsidRDefault="002769DE">
      <w:pPr>
        <w:spacing w:line="257" w:lineRule="auto"/>
        <w:ind w:left="0" w:hanging="2"/>
        <w:rPr>
          <w:rFonts w:ascii="Times New Roman" w:eastAsia="Times New Roman" w:hAnsi="Times New Roman" w:cs="Times New Roman"/>
        </w:rPr>
      </w:pPr>
    </w:p>
    <w:p w14:paraId="4AFBD8F8" w14:textId="77777777" w:rsidR="002769DE" w:rsidRDefault="002769DE">
      <w:pPr>
        <w:spacing w:line="257" w:lineRule="auto"/>
        <w:ind w:left="0" w:hanging="2"/>
        <w:rPr>
          <w:rFonts w:ascii="Times New Roman" w:eastAsia="Times New Roman" w:hAnsi="Times New Roman" w:cs="Times New Roman"/>
        </w:rPr>
      </w:pPr>
    </w:p>
    <w:p w14:paraId="6132D847" w14:textId="77777777" w:rsidR="002769DE" w:rsidRDefault="002769DE">
      <w:pPr>
        <w:spacing w:line="257" w:lineRule="auto"/>
        <w:ind w:left="0" w:hanging="2"/>
        <w:rPr>
          <w:rFonts w:ascii="Times New Roman" w:eastAsia="Times New Roman" w:hAnsi="Times New Roman" w:cs="Times New Roman"/>
        </w:rPr>
      </w:pPr>
    </w:p>
    <w:p w14:paraId="71DB76CE" w14:textId="77777777" w:rsidR="002769DE" w:rsidRDefault="002769DE">
      <w:pPr>
        <w:spacing w:line="257" w:lineRule="auto"/>
        <w:ind w:left="0" w:hanging="2"/>
        <w:rPr>
          <w:rFonts w:ascii="Times New Roman" w:eastAsia="Times New Roman" w:hAnsi="Times New Roman" w:cs="Times New Roman"/>
        </w:rPr>
      </w:pPr>
    </w:p>
    <w:p w14:paraId="70FF0BF7" w14:textId="77777777" w:rsidR="002769DE" w:rsidRDefault="002769DE">
      <w:pPr>
        <w:spacing w:line="257" w:lineRule="auto"/>
        <w:ind w:left="0" w:hanging="2"/>
        <w:rPr>
          <w:rFonts w:ascii="Times New Roman" w:eastAsia="Times New Roman" w:hAnsi="Times New Roman" w:cs="Times New Roman"/>
        </w:rPr>
      </w:pPr>
    </w:p>
    <w:p w14:paraId="1FE78B43" w14:textId="77777777" w:rsidR="002769DE" w:rsidRDefault="002769DE">
      <w:pPr>
        <w:spacing w:line="257" w:lineRule="auto"/>
        <w:ind w:left="0" w:hanging="2"/>
        <w:rPr>
          <w:rFonts w:ascii="Times New Roman" w:eastAsia="Times New Roman" w:hAnsi="Times New Roman" w:cs="Times New Roman"/>
        </w:rPr>
      </w:pPr>
    </w:p>
    <w:p w14:paraId="08B96F24" w14:textId="77777777" w:rsidR="002769DE" w:rsidRDefault="002769DE">
      <w:pPr>
        <w:spacing w:line="257" w:lineRule="auto"/>
        <w:ind w:left="0" w:hanging="2"/>
        <w:rPr>
          <w:rFonts w:ascii="Times New Roman" w:eastAsia="Times New Roman" w:hAnsi="Times New Roman" w:cs="Times New Roman"/>
        </w:rPr>
      </w:pPr>
    </w:p>
    <w:p w14:paraId="31F55694" w14:textId="77777777" w:rsidR="002769DE" w:rsidRDefault="002769DE">
      <w:pPr>
        <w:spacing w:line="257" w:lineRule="auto"/>
        <w:ind w:left="0" w:hanging="2"/>
        <w:rPr>
          <w:rFonts w:ascii="Times New Roman" w:eastAsia="Times New Roman" w:hAnsi="Times New Roman" w:cs="Times New Roman"/>
        </w:rPr>
      </w:pPr>
    </w:p>
    <w:p w14:paraId="2BAD5803" w14:textId="77777777" w:rsidR="002769DE" w:rsidRDefault="002769DE">
      <w:pPr>
        <w:spacing w:line="257" w:lineRule="auto"/>
        <w:ind w:left="0" w:hanging="2"/>
        <w:rPr>
          <w:rFonts w:ascii="Times New Roman" w:eastAsia="Times New Roman" w:hAnsi="Times New Roman" w:cs="Times New Roman"/>
        </w:rPr>
      </w:pPr>
    </w:p>
    <w:p w14:paraId="52263540" w14:textId="77777777" w:rsidR="002769DE" w:rsidRDefault="002769DE">
      <w:pPr>
        <w:spacing w:line="257" w:lineRule="auto"/>
        <w:ind w:left="0" w:hanging="2"/>
        <w:rPr>
          <w:rFonts w:ascii="Times New Roman" w:eastAsia="Times New Roman" w:hAnsi="Times New Roman" w:cs="Times New Roman"/>
        </w:rPr>
      </w:pPr>
    </w:p>
    <w:p w14:paraId="06129A0F" w14:textId="77777777" w:rsidR="002769DE" w:rsidRDefault="002769DE">
      <w:pPr>
        <w:spacing w:line="257" w:lineRule="auto"/>
        <w:ind w:left="0" w:hanging="2"/>
        <w:rPr>
          <w:rFonts w:ascii="Times New Roman" w:eastAsia="Times New Roman" w:hAnsi="Times New Roman" w:cs="Times New Roman"/>
        </w:rPr>
      </w:pPr>
    </w:p>
    <w:p w14:paraId="0DB78B32" w14:textId="77777777" w:rsidR="002769DE" w:rsidRDefault="002769DE">
      <w:pPr>
        <w:spacing w:line="257" w:lineRule="auto"/>
        <w:ind w:left="0" w:hanging="2"/>
        <w:rPr>
          <w:rFonts w:ascii="Times New Roman" w:eastAsia="Times New Roman" w:hAnsi="Times New Roman" w:cs="Times New Roman"/>
        </w:rPr>
      </w:pPr>
    </w:p>
    <w:p w14:paraId="6D7669FF" w14:textId="77777777" w:rsidR="002769DE" w:rsidRDefault="002769DE">
      <w:pPr>
        <w:spacing w:line="257" w:lineRule="auto"/>
        <w:ind w:left="0" w:hanging="2"/>
        <w:rPr>
          <w:rFonts w:ascii="Times New Roman" w:eastAsia="Times New Roman" w:hAnsi="Times New Roman" w:cs="Times New Roman"/>
        </w:rPr>
      </w:pPr>
    </w:p>
    <w:p w14:paraId="493B1072" w14:textId="77777777" w:rsidR="002769DE" w:rsidRDefault="002769DE">
      <w:pPr>
        <w:spacing w:line="257" w:lineRule="auto"/>
        <w:ind w:left="0" w:hanging="2"/>
        <w:rPr>
          <w:rFonts w:ascii="Times New Roman" w:eastAsia="Times New Roman" w:hAnsi="Times New Roman" w:cs="Times New Roman"/>
        </w:rPr>
      </w:pPr>
    </w:p>
    <w:p w14:paraId="6E9A8990" w14:textId="77777777" w:rsidR="002769DE" w:rsidRDefault="002769DE">
      <w:pPr>
        <w:spacing w:line="257" w:lineRule="auto"/>
        <w:ind w:left="0" w:hanging="2"/>
        <w:rPr>
          <w:rFonts w:ascii="Times New Roman" w:eastAsia="Times New Roman" w:hAnsi="Times New Roman" w:cs="Times New Roman"/>
        </w:rPr>
      </w:pPr>
    </w:p>
    <w:p w14:paraId="3A461B30" w14:textId="77777777" w:rsidR="002769DE" w:rsidRDefault="002769DE">
      <w:pPr>
        <w:spacing w:line="257" w:lineRule="auto"/>
        <w:ind w:left="0" w:hanging="2"/>
        <w:rPr>
          <w:rFonts w:ascii="Times New Roman" w:eastAsia="Times New Roman" w:hAnsi="Times New Roman" w:cs="Times New Roman"/>
        </w:rPr>
      </w:pPr>
    </w:p>
    <w:p w14:paraId="13B0BF52" w14:textId="77777777" w:rsidR="002769DE" w:rsidRDefault="002769DE">
      <w:pPr>
        <w:spacing w:line="257" w:lineRule="auto"/>
        <w:ind w:left="0" w:hanging="2"/>
        <w:rPr>
          <w:rFonts w:ascii="Times New Roman" w:eastAsia="Times New Roman" w:hAnsi="Times New Roman" w:cs="Times New Roman"/>
        </w:rPr>
      </w:pPr>
    </w:p>
    <w:p w14:paraId="58C5DF1C" w14:textId="77777777" w:rsidR="002769DE" w:rsidRPr="002769DE" w:rsidRDefault="002769DE">
      <w:pPr>
        <w:spacing w:line="257" w:lineRule="auto"/>
        <w:ind w:left="0" w:hanging="2"/>
        <w:rPr>
          <w:rFonts w:ascii="Times New Roman" w:eastAsia="Times New Roman" w:hAnsi="Times New Roman" w:cs="Times New Roman"/>
        </w:rPr>
      </w:pPr>
    </w:p>
    <w:p w14:paraId="7709AEA7" w14:textId="77777777" w:rsidR="00897BE0" w:rsidRDefault="00897BE0">
      <w:pPr>
        <w:spacing w:line="257" w:lineRule="auto"/>
        <w:ind w:left="0" w:hanging="2"/>
        <w:rPr>
          <w:rFonts w:ascii="Times New Roman" w:eastAsia="Times New Roman" w:hAnsi="Times New Roman" w:cs="Times New Roman"/>
        </w:rPr>
      </w:pPr>
    </w:p>
    <w:p w14:paraId="497E4569" w14:textId="77777777" w:rsidR="00897BE0" w:rsidRDefault="00897BE0">
      <w:pPr>
        <w:spacing w:line="257" w:lineRule="auto"/>
        <w:ind w:left="0" w:hanging="2"/>
        <w:rPr>
          <w:rFonts w:ascii="Times New Roman" w:eastAsia="Times New Roman" w:hAnsi="Times New Roman" w:cs="Times New Roman"/>
        </w:rPr>
      </w:pPr>
    </w:p>
    <w:sectPr w:rsidR="00897BE0">
      <w:headerReference w:type="default" r:id="rId7"/>
      <w:pgSz w:w="11909" w:h="16834"/>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FE6E" w14:textId="77777777" w:rsidR="00E0346E" w:rsidRDefault="00E0346E">
      <w:pPr>
        <w:spacing w:line="240" w:lineRule="auto"/>
        <w:ind w:left="0" w:hanging="2"/>
      </w:pPr>
      <w:r>
        <w:separator/>
      </w:r>
    </w:p>
  </w:endnote>
  <w:endnote w:type="continuationSeparator" w:id="0">
    <w:p w14:paraId="710F706C" w14:textId="77777777" w:rsidR="00E0346E" w:rsidRDefault="00E034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5616" w14:textId="77777777" w:rsidR="00E0346E" w:rsidRDefault="00E0346E">
      <w:pPr>
        <w:spacing w:line="240" w:lineRule="auto"/>
        <w:ind w:left="0" w:hanging="2"/>
      </w:pPr>
      <w:r>
        <w:separator/>
      </w:r>
    </w:p>
  </w:footnote>
  <w:footnote w:type="continuationSeparator" w:id="0">
    <w:p w14:paraId="0BD9C393" w14:textId="77777777" w:rsidR="00E0346E" w:rsidRDefault="00E0346E">
      <w:pPr>
        <w:spacing w:line="240" w:lineRule="auto"/>
        <w:ind w:left="0" w:hanging="2"/>
      </w:pPr>
      <w:r>
        <w:continuationSeparator/>
      </w:r>
    </w:p>
  </w:footnote>
  <w:footnote w:id="1">
    <w:p w14:paraId="5CA34D42" w14:textId="77777777" w:rsidR="00897BE0"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За даними проведеного аудиту інформаційно-комунікаційних систем та реєстрів Держпродспоживслужби їх загальна кількість більше 30. </w:t>
      </w:r>
    </w:p>
  </w:footnote>
  <w:footnote w:id="2">
    <w:p w14:paraId="7FD7CA5E" w14:textId="77777777" w:rsidR="00897BE0"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Загальна кількість публічних послуг, які пропонується </w:t>
      </w:r>
      <w:proofErr w:type="spellStart"/>
      <w:r>
        <w:rPr>
          <w:rFonts w:ascii="Times New Roman" w:eastAsia="Times New Roman" w:hAnsi="Times New Roman" w:cs="Times New Roman"/>
          <w:color w:val="000000"/>
          <w:sz w:val="18"/>
          <w:szCs w:val="18"/>
        </w:rPr>
        <w:t>цифровізувати</w:t>
      </w:r>
      <w:proofErr w:type="spellEnd"/>
      <w:r>
        <w:rPr>
          <w:rFonts w:ascii="Times New Roman" w:eastAsia="Times New Roman" w:hAnsi="Times New Roman" w:cs="Times New Roman"/>
          <w:color w:val="000000"/>
          <w:sz w:val="18"/>
          <w:szCs w:val="18"/>
        </w:rPr>
        <w:t xml:space="preserve"> у сфері компетенції Держпродспоживслужби - 53.</w:t>
      </w:r>
    </w:p>
  </w:footnote>
  <w:footnote w:id="3">
    <w:p w14:paraId="147B7FD9" w14:textId="77777777" w:rsidR="00897BE0" w:rsidRDefault="00000000">
      <w:pPr>
        <w:pBdr>
          <w:top w:val="nil"/>
          <w:left w:val="nil"/>
          <w:bottom w:val="nil"/>
          <w:right w:val="nil"/>
          <w:between w:val="nil"/>
        </w:pBdr>
        <w:spacing w:line="240" w:lineRule="auto"/>
        <w:ind w:left="0" w:hanging="2"/>
        <w:jc w:val="both"/>
        <w:rPr>
          <w:color w:val="000000"/>
          <w:sz w:val="24"/>
          <w:szCs w:val="24"/>
          <w:vertAlign w:val="superscript"/>
        </w:rPr>
      </w:pPr>
      <w:r>
        <w:rPr>
          <w:vertAlign w:val="superscript"/>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eGovernment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Plan</w:t>
      </w:r>
      <w:proofErr w:type="spellEnd"/>
      <w:r>
        <w:rPr>
          <w:rFonts w:ascii="Times New Roman" w:eastAsia="Times New Roman" w:hAnsi="Times New Roman" w:cs="Times New Roman"/>
          <w:color w:val="000000"/>
          <w:sz w:val="18"/>
          <w:szCs w:val="18"/>
        </w:rPr>
        <w:t xml:space="preserve"> 2016–2020. Європейської Комісії, що визначає основні цілі та заходи у сфері цифровізації державних послуг у ЄС, доступний за посиланням: https://eur-lex.europa.eu/legal-content/EN/TXT/?uri=CELEX:52016DC0179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709D" w14:textId="77777777" w:rsidR="00897BE0" w:rsidRDefault="00000000">
    <w:pPr>
      <w:pBdr>
        <w:top w:val="nil"/>
        <w:left w:val="nil"/>
        <w:bottom w:val="nil"/>
        <w:right w:val="nil"/>
        <w:between w:val="nil"/>
      </w:pBdr>
      <w:tabs>
        <w:tab w:val="center" w:pos="4677"/>
        <w:tab w:val="right" w:pos="9355"/>
      </w:tabs>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769DE">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E0"/>
    <w:rsid w:val="0001125B"/>
    <w:rsid w:val="0006318E"/>
    <w:rsid w:val="001F60B0"/>
    <w:rsid w:val="00260D21"/>
    <w:rsid w:val="002769DE"/>
    <w:rsid w:val="003F4C26"/>
    <w:rsid w:val="00450410"/>
    <w:rsid w:val="00486A97"/>
    <w:rsid w:val="005A6B10"/>
    <w:rsid w:val="006107ED"/>
    <w:rsid w:val="006258BD"/>
    <w:rsid w:val="006671BD"/>
    <w:rsid w:val="0071226A"/>
    <w:rsid w:val="007F5B72"/>
    <w:rsid w:val="00897BE0"/>
    <w:rsid w:val="009E3110"/>
    <w:rsid w:val="00B539A3"/>
    <w:rsid w:val="00B674FF"/>
    <w:rsid w:val="00D67BC1"/>
    <w:rsid w:val="00E0346E"/>
    <w:rsid w:val="00EA0BE9"/>
    <w:rsid w:val="00FC7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A386"/>
  <w15:docId w15:val="{292E2AD5-7F3C-4CB3-B660-1DB55BE1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276" w:lineRule="auto"/>
      <w:ind w:leftChars="-1" w:left="-1" w:hangingChars="1" w:hanging="1"/>
      <w:textDirection w:val="btLr"/>
      <w:textAlignment w:val="top"/>
      <w:outlineLvl w:val="0"/>
    </w:pPr>
    <w:rPr>
      <w:position w:val="-1"/>
      <w:sz w:val="22"/>
      <w:szCs w:val="22"/>
      <w:lang w:eastAsia="ru-RU"/>
    </w:rPr>
  </w:style>
  <w:style w:type="paragraph" w:styleId="1">
    <w:name w:val="heading 1"/>
    <w:basedOn w:val="a"/>
    <w:next w:val="a"/>
    <w:uiPriority w:val="9"/>
    <w:qFormat/>
    <w:pPr>
      <w:keepNext/>
      <w:keepLines/>
      <w:spacing w:before="400" w:after="12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lang w:eastAsia="ru-RU"/>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a7">
    <w:name w:val="header"/>
    <w:basedOn w:val="a"/>
    <w:qFormat/>
    <w:pPr>
      <w:tabs>
        <w:tab w:val="center" w:pos="4677"/>
        <w:tab w:val="right" w:pos="9355"/>
      </w:tabs>
    </w:pPr>
  </w:style>
  <w:style w:type="character" w:customStyle="1" w:styleId="a8">
    <w:name w:val="Верхній колонтитул Знак"/>
    <w:rPr>
      <w:w w:val="100"/>
      <w:position w:val="-1"/>
      <w:sz w:val="22"/>
      <w:szCs w:val="22"/>
      <w:effect w:val="none"/>
      <w:vertAlign w:val="baseline"/>
      <w:cs w:val="0"/>
      <w:em w:val="none"/>
    </w:rPr>
  </w:style>
  <w:style w:type="paragraph" w:styleId="a9">
    <w:name w:val="footer"/>
    <w:basedOn w:val="a"/>
    <w:qFormat/>
    <w:pPr>
      <w:tabs>
        <w:tab w:val="center" w:pos="4677"/>
        <w:tab w:val="right" w:pos="9355"/>
      </w:tabs>
    </w:pPr>
  </w:style>
  <w:style w:type="character" w:customStyle="1" w:styleId="aa">
    <w:name w:val="Нижній колонтитул Знак"/>
    <w:rPr>
      <w:w w:val="100"/>
      <w:position w:val="-1"/>
      <w:sz w:val="22"/>
      <w:szCs w:val="22"/>
      <w:effect w:val="none"/>
      <w:vertAlign w:val="baseline"/>
      <w:cs w:val="0"/>
      <w:em w:val="none"/>
    </w:rPr>
  </w:style>
  <w:style w:type="paragraph" w:styleId="ab">
    <w:name w:val="No Spacing"/>
    <w:pPr>
      <w:suppressAutoHyphens/>
      <w:spacing w:line="1" w:lineRule="atLeast"/>
      <w:ind w:leftChars="-1" w:left="-1" w:hangingChars="1" w:hanging="1"/>
      <w:textDirection w:val="btLr"/>
      <w:textAlignment w:val="top"/>
      <w:outlineLvl w:val="0"/>
    </w:pPr>
    <w:rPr>
      <w:position w:val="-1"/>
      <w:sz w:val="22"/>
      <w:szCs w:val="22"/>
      <w:lang w:eastAsia="ru-RU"/>
    </w:rPr>
  </w:style>
  <w:style w:type="paragraph" w:styleId="ac">
    <w:name w:val="List Paragraph"/>
    <w:basedOn w:val="a"/>
    <w:pPr>
      <w:spacing w:after="160" w:line="259" w:lineRule="auto"/>
      <w:ind w:left="720"/>
      <w:contextualSpacing/>
    </w:pPr>
    <w:rPr>
      <w:rFonts w:ascii="Calibri" w:eastAsia="Calibri" w:hAnsi="Calibri"/>
      <w:kern w:val="2"/>
      <w:lang w:val="en-US" w:eastAsia="en-US"/>
    </w:rPr>
  </w:style>
  <w:style w:type="character" w:styleId="ad">
    <w:name w:val="Strong"/>
    <w:rPr>
      <w:b/>
      <w:bCs/>
      <w:w w:val="100"/>
      <w:position w:val="-1"/>
      <w:effect w:val="none"/>
      <w:vertAlign w:val="baseline"/>
      <w:cs w:val="0"/>
      <w:em w:val="none"/>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WjKf5jMShDcVDjgEJUibx/ZfQ==">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14705</Words>
  <Characters>8383</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Oleksiy Ovsiannykov</cp:lastModifiedBy>
  <cp:revision>16</cp:revision>
  <dcterms:created xsi:type="dcterms:W3CDTF">2025-04-30T09:51:00Z</dcterms:created>
  <dcterms:modified xsi:type="dcterms:W3CDTF">2025-08-06T07:30:00Z</dcterms:modified>
</cp:coreProperties>
</file>