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1644A4" w14:textId="77777777" w:rsidR="00BB6110" w:rsidRDefault="002827DA">
      <w:pPr>
        <w:pBdr>
          <w:top w:val="nil"/>
          <w:left w:val="nil"/>
          <w:bottom w:val="nil"/>
          <w:right w:val="nil"/>
          <w:between w:val="nil"/>
        </w:pBdr>
        <w:shd w:val="clear" w:color="auto" w:fill="FFFFFF"/>
        <w:spacing w:after="167"/>
        <w:ind w:left="4536"/>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ЗАТВЕРДЖЕНО</w:t>
      </w:r>
      <w:r>
        <w:rPr>
          <w:rFonts w:ascii="Times New Roman" w:eastAsia="Times New Roman" w:hAnsi="Times New Roman" w:cs="Times New Roman"/>
          <w:sz w:val="28"/>
          <w:szCs w:val="28"/>
        </w:rPr>
        <w:br/>
        <w:t>постановою Кабінету Міністрів України</w:t>
      </w:r>
      <w:r>
        <w:rPr>
          <w:rFonts w:ascii="Times New Roman" w:eastAsia="Times New Roman" w:hAnsi="Times New Roman" w:cs="Times New Roman"/>
          <w:sz w:val="28"/>
          <w:szCs w:val="28"/>
        </w:rPr>
        <w:br/>
        <w:t>від ___ ___________ 2026 р. № _____</w:t>
      </w:r>
    </w:p>
    <w:p w14:paraId="33540013" w14:textId="77777777" w:rsidR="00BB6110" w:rsidRDefault="00BB6110">
      <w:pPr>
        <w:pBdr>
          <w:top w:val="nil"/>
          <w:left w:val="nil"/>
          <w:bottom w:val="nil"/>
          <w:right w:val="nil"/>
          <w:between w:val="nil"/>
        </w:pBdr>
        <w:shd w:val="clear" w:color="auto" w:fill="FFFFFF"/>
        <w:spacing w:after="167"/>
        <w:jc w:val="both"/>
        <w:rPr>
          <w:rFonts w:ascii="Times New Roman" w:eastAsia="Times New Roman" w:hAnsi="Times New Roman" w:cs="Times New Roman"/>
          <w:sz w:val="28"/>
          <w:szCs w:val="28"/>
        </w:rPr>
      </w:pPr>
    </w:p>
    <w:p w14:paraId="3893B118" w14:textId="77777777" w:rsidR="00BB6110" w:rsidRDefault="002827DA">
      <w:pPr>
        <w:pBdr>
          <w:top w:val="nil"/>
          <w:left w:val="nil"/>
          <w:bottom w:val="nil"/>
          <w:right w:val="nil"/>
          <w:between w:val="nil"/>
        </w:pBdr>
        <w:shd w:val="clear" w:color="auto" w:fill="FFFFFF"/>
        <w:spacing w:after="167"/>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ЗМІНИ,</w:t>
      </w:r>
      <w:r>
        <w:rPr>
          <w:rFonts w:ascii="Times New Roman" w:eastAsia="Times New Roman" w:hAnsi="Times New Roman" w:cs="Times New Roman"/>
          <w:sz w:val="28"/>
          <w:szCs w:val="28"/>
        </w:rPr>
        <w:br/>
        <w:t>що вносяться до постанов Кабінету Міністрів України</w:t>
      </w:r>
    </w:p>
    <w:p w14:paraId="14FDB78B" w14:textId="77777777" w:rsidR="00BB6110" w:rsidRDefault="00BB6110">
      <w:pPr>
        <w:pBdr>
          <w:top w:val="nil"/>
          <w:left w:val="nil"/>
          <w:bottom w:val="nil"/>
          <w:right w:val="nil"/>
          <w:between w:val="nil"/>
        </w:pBdr>
        <w:shd w:val="clear" w:color="auto" w:fill="FFFFFF"/>
        <w:spacing w:after="167"/>
        <w:jc w:val="center"/>
        <w:rPr>
          <w:rFonts w:ascii="Times New Roman" w:eastAsia="Times New Roman" w:hAnsi="Times New Roman" w:cs="Times New Roman"/>
          <w:sz w:val="28"/>
          <w:szCs w:val="28"/>
        </w:rPr>
      </w:pPr>
    </w:p>
    <w:p w14:paraId="64771075" w14:textId="77777777" w:rsidR="00BB6110" w:rsidRDefault="002827DA">
      <w:pPr>
        <w:pBdr>
          <w:top w:val="nil"/>
          <w:left w:val="nil"/>
          <w:bottom w:val="nil"/>
          <w:right w:val="nil"/>
          <w:between w:val="nil"/>
        </w:pBdr>
        <w:shd w:val="clear" w:color="auto" w:fill="FFFFFF"/>
        <w:spacing w:after="167"/>
        <w:ind w:firstLine="709"/>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1. У </w:t>
      </w:r>
      <w:r>
        <w:rPr>
          <w:rFonts w:ascii="Times New Roman" w:eastAsia="Times New Roman" w:hAnsi="Times New Roman" w:cs="Times New Roman"/>
          <w:sz w:val="27"/>
          <w:szCs w:val="27"/>
          <w:highlight w:val="white"/>
        </w:rPr>
        <w:t>додатку 1 до постанови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 (Офіційний вісник України, 2011 р., № 101, ст. 3705; 2016 р., № 82, ст. 2705; 2018 р., № 70, ст. 2364; 2020 р., № 12, ст. 472; 2021 р., № 4 , ст. 216; 2021 р., № 68, ст. 4269; 2022 р., № 54, ст. 3175):</w:t>
      </w:r>
    </w:p>
    <w:p w14:paraId="46BF44DA" w14:textId="77777777" w:rsidR="00BB6110" w:rsidRDefault="002827DA">
      <w:pPr>
        <w:pBdr>
          <w:top w:val="nil"/>
          <w:left w:val="nil"/>
          <w:bottom w:val="nil"/>
          <w:right w:val="nil"/>
          <w:between w:val="nil"/>
        </w:pBdr>
        <w:shd w:val="clear" w:color="auto" w:fill="FFFFFF"/>
        <w:spacing w:after="167"/>
        <w:ind w:firstLine="709"/>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4"/>
          <w:szCs w:val="24"/>
        </w:rPr>
        <w:t>1) </w:t>
      </w:r>
      <w:r>
        <w:rPr>
          <w:rFonts w:ascii="Times New Roman" w:eastAsia="Times New Roman" w:hAnsi="Times New Roman" w:cs="Times New Roman"/>
          <w:sz w:val="27"/>
          <w:szCs w:val="27"/>
          <w:highlight w:val="white"/>
        </w:rPr>
        <w:t>пункт 4 викласти в такій редакції:</w:t>
      </w:r>
    </w:p>
    <w:tbl>
      <w:tblPr>
        <w:tblStyle w:val="ae"/>
        <w:tblW w:w="9638" w:type="dxa"/>
        <w:tblInd w:w="0" w:type="dxa"/>
        <w:tblLayout w:type="fixed"/>
        <w:tblLook w:val="0400" w:firstRow="0" w:lastRow="0" w:firstColumn="0" w:lastColumn="0" w:noHBand="0" w:noVBand="1"/>
      </w:tblPr>
      <w:tblGrid>
        <w:gridCol w:w="5803"/>
        <w:gridCol w:w="1477"/>
        <w:gridCol w:w="2358"/>
      </w:tblGrid>
      <w:tr w:rsidR="00BB6110" w14:paraId="6BDD9CAE" w14:textId="77777777">
        <w:tc>
          <w:tcPr>
            <w:tcW w:w="5804" w:type="dxa"/>
          </w:tcPr>
          <w:p w14:paraId="32C12BB3" w14:textId="73F71DEE" w:rsidR="00BB6110" w:rsidRDefault="006004F5">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w:t>
            </w:r>
            <w:r w:rsidR="002827DA">
              <w:rPr>
                <w:rFonts w:ascii="Times New Roman" w:eastAsia="Times New Roman" w:hAnsi="Times New Roman" w:cs="Times New Roman"/>
                <w:sz w:val="24"/>
                <w:szCs w:val="24"/>
              </w:rPr>
              <w:t>4*. Проведення огляду:</w:t>
            </w:r>
          </w:p>
        </w:tc>
        <w:tc>
          <w:tcPr>
            <w:tcW w:w="1477" w:type="dxa"/>
          </w:tcPr>
          <w:p w14:paraId="37B636F6"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64675966"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r>
      <w:tr w:rsidR="00BB6110" w14:paraId="5743CFB9" w14:textId="77777777">
        <w:tc>
          <w:tcPr>
            <w:tcW w:w="5804" w:type="dxa"/>
          </w:tcPr>
          <w:p w14:paraId="2FD0BE5E"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садивного матеріалу кількістю до 1000 одиниць та за кожну наступну тисячу одиниць</w:t>
            </w:r>
          </w:p>
        </w:tc>
        <w:tc>
          <w:tcPr>
            <w:tcW w:w="1477" w:type="dxa"/>
          </w:tcPr>
          <w:p w14:paraId="7623D910"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584B2E80"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0,0354</w:t>
            </w:r>
          </w:p>
        </w:tc>
      </w:tr>
      <w:tr w:rsidR="00BB6110" w14:paraId="405AE256" w14:textId="77777777">
        <w:tc>
          <w:tcPr>
            <w:tcW w:w="5804" w:type="dxa"/>
          </w:tcPr>
          <w:p w14:paraId="5F84C346"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насіння овочевих і квіткових культур, лікарських та газонних трав вагою:</w:t>
            </w:r>
          </w:p>
        </w:tc>
        <w:tc>
          <w:tcPr>
            <w:tcW w:w="1477" w:type="dxa"/>
          </w:tcPr>
          <w:p w14:paraId="034430D2"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6A119A57"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r>
      <w:tr w:rsidR="00BB6110" w14:paraId="3632507D" w14:textId="77777777">
        <w:tc>
          <w:tcPr>
            <w:tcW w:w="5804" w:type="dxa"/>
          </w:tcPr>
          <w:p w14:paraId="79A9C8D7"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до 100 кілограмів</w:t>
            </w:r>
          </w:p>
        </w:tc>
        <w:tc>
          <w:tcPr>
            <w:tcW w:w="1477" w:type="dxa"/>
          </w:tcPr>
          <w:p w14:paraId="018AEAE0"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49615623"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0,0284</w:t>
            </w:r>
          </w:p>
        </w:tc>
      </w:tr>
      <w:tr w:rsidR="00BB6110" w14:paraId="68B7E4C3" w14:textId="77777777">
        <w:tc>
          <w:tcPr>
            <w:tcW w:w="5804" w:type="dxa"/>
          </w:tcPr>
          <w:p w14:paraId="43468D33"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від 100 до 1000 кілограмів</w:t>
            </w:r>
          </w:p>
        </w:tc>
        <w:tc>
          <w:tcPr>
            <w:tcW w:w="1477" w:type="dxa"/>
          </w:tcPr>
          <w:p w14:paraId="04A3A370"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14C1C539"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0,0852</w:t>
            </w:r>
          </w:p>
        </w:tc>
      </w:tr>
      <w:tr w:rsidR="00BB6110" w14:paraId="6D158735" w14:textId="77777777">
        <w:tc>
          <w:tcPr>
            <w:tcW w:w="5804" w:type="dxa"/>
          </w:tcPr>
          <w:p w14:paraId="71CFEA7F"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понад 1000 кілограмів та за кожну наступну тисячу кілограмів</w:t>
            </w:r>
          </w:p>
        </w:tc>
        <w:tc>
          <w:tcPr>
            <w:tcW w:w="1477" w:type="dxa"/>
          </w:tcPr>
          <w:p w14:paraId="50640C49"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293839FE"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0,0786</w:t>
            </w:r>
          </w:p>
        </w:tc>
      </w:tr>
      <w:tr w:rsidR="00BB6110" w14:paraId="37FCCB6D" w14:textId="77777777">
        <w:tc>
          <w:tcPr>
            <w:tcW w:w="5804" w:type="dxa"/>
          </w:tcPr>
          <w:p w14:paraId="6DF0F676"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насіння зернових, бобових, технічних та олійних культур вагою до 1000 кілограмів та за кожну наступну тисячу кілограмів</w:t>
            </w:r>
          </w:p>
        </w:tc>
        <w:tc>
          <w:tcPr>
            <w:tcW w:w="1477" w:type="dxa"/>
          </w:tcPr>
          <w:p w14:paraId="502BF099"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40B9EE6E"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w:t>
            </w:r>
          </w:p>
        </w:tc>
      </w:tr>
      <w:tr w:rsidR="00BB6110" w14:paraId="02B1F738" w14:textId="77777777">
        <w:tc>
          <w:tcPr>
            <w:tcW w:w="5804" w:type="dxa"/>
          </w:tcPr>
          <w:p w14:paraId="7814E9CA"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картоплі вагою до 1000 кілограмів та за кожну наступну тисячу кілограмів</w:t>
            </w:r>
          </w:p>
        </w:tc>
        <w:tc>
          <w:tcPr>
            <w:tcW w:w="1477" w:type="dxa"/>
          </w:tcPr>
          <w:p w14:paraId="5559D860"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72CECD96"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0,0132</w:t>
            </w:r>
          </w:p>
        </w:tc>
      </w:tr>
      <w:tr w:rsidR="00BB6110" w14:paraId="2D7B4D71" w14:textId="77777777">
        <w:tc>
          <w:tcPr>
            <w:tcW w:w="5804" w:type="dxa"/>
          </w:tcPr>
          <w:p w14:paraId="0065DF69"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іншого насіння вагою до 1000 кілограмів та за кожну наступну тисячу кілограмів</w:t>
            </w:r>
          </w:p>
        </w:tc>
        <w:tc>
          <w:tcPr>
            <w:tcW w:w="1477" w:type="dxa"/>
          </w:tcPr>
          <w:p w14:paraId="5F387E3C"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154FB263"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0,0554</w:t>
            </w:r>
          </w:p>
        </w:tc>
      </w:tr>
      <w:tr w:rsidR="00BB6110" w14:paraId="0E3FB1FF" w14:textId="77777777">
        <w:tc>
          <w:tcPr>
            <w:tcW w:w="5804" w:type="dxa"/>
          </w:tcPr>
          <w:p w14:paraId="6E56BAD8"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лісоматеріалів:</w:t>
            </w:r>
          </w:p>
        </w:tc>
        <w:tc>
          <w:tcPr>
            <w:tcW w:w="1477" w:type="dxa"/>
          </w:tcPr>
          <w:p w14:paraId="104AE5A9"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куб. метрів</w:t>
            </w:r>
          </w:p>
        </w:tc>
        <w:tc>
          <w:tcPr>
            <w:tcW w:w="2358" w:type="dxa"/>
          </w:tcPr>
          <w:p w14:paraId="24593B2B"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r>
      <w:tr w:rsidR="00BB6110" w14:paraId="1321F257" w14:textId="77777777">
        <w:tc>
          <w:tcPr>
            <w:tcW w:w="5804" w:type="dxa"/>
          </w:tcPr>
          <w:p w14:paraId="3C9C4127"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на ділянці, складі, майданчику</w:t>
            </w:r>
          </w:p>
        </w:tc>
        <w:tc>
          <w:tcPr>
            <w:tcW w:w="1477" w:type="dxa"/>
          </w:tcPr>
          <w:p w14:paraId="517C53E0"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29AAA8FE"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0,0028</w:t>
            </w:r>
          </w:p>
        </w:tc>
      </w:tr>
      <w:tr w:rsidR="00BB6110" w14:paraId="0577297C" w14:textId="77777777">
        <w:tc>
          <w:tcPr>
            <w:tcW w:w="5804" w:type="dxa"/>
          </w:tcPr>
          <w:p w14:paraId="185AB3D2"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в автотранспортному засобі, вагоні, контейнері</w:t>
            </w:r>
          </w:p>
        </w:tc>
        <w:tc>
          <w:tcPr>
            <w:tcW w:w="1477" w:type="dxa"/>
          </w:tcPr>
          <w:p w14:paraId="6AB14C50"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2EC98EC7"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0,0032</w:t>
            </w:r>
          </w:p>
        </w:tc>
      </w:tr>
      <w:tr w:rsidR="00BB6110" w14:paraId="12D83222" w14:textId="77777777">
        <w:tc>
          <w:tcPr>
            <w:tcW w:w="5804" w:type="dxa"/>
          </w:tcPr>
          <w:p w14:paraId="477F2E92"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на суднах</w:t>
            </w:r>
          </w:p>
        </w:tc>
        <w:tc>
          <w:tcPr>
            <w:tcW w:w="1477" w:type="dxa"/>
          </w:tcPr>
          <w:p w14:paraId="752A7D8A"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7A1F038D"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0,004</w:t>
            </w:r>
          </w:p>
        </w:tc>
      </w:tr>
      <w:tr w:rsidR="00BB6110" w14:paraId="5433DFE4" w14:textId="77777777">
        <w:tc>
          <w:tcPr>
            <w:tcW w:w="5804" w:type="dxa"/>
          </w:tcPr>
          <w:p w14:paraId="0B080A36"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пиломатеріалів:</w:t>
            </w:r>
          </w:p>
        </w:tc>
        <w:tc>
          <w:tcPr>
            <w:tcW w:w="1477" w:type="dxa"/>
          </w:tcPr>
          <w:p w14:paraId="4E7C7483"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178E9697"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r>
      <w:tr w:rsidR="00BB6110" w14:paraId="551B7EE1" w14:textId="77777777">
        <w:tc>
          <w:tcPr>
            <w:tcW w:w="5804" w:type="dxa"/>
          </w:tcPr>
          <w:p w14:paraId="65212124"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на ділянці, складі, майданчику</w:t>
            </w:r>
          </w:p>
        </w:tc>
        <w:tc>
          <w:tcPr>
            <w:tcW w:w="1477" w:type="dxa"/>
          </w:tcPr>
          <w:p w14:paraId="430150D3"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248673F7"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0,0024</w:t>
            </w:r>
          </w:p>
        </w:tc>
      </w:tr>
      <w:tr w:rsidR="00BB6110" w14:paraId="40553D4A" w14:textId="77777777">
        <w:tc>
          <w:tcPr>
            <w:tcW w:w="5804" w:type="dxa"/>
          </w:tcPr>
          <w:p w14:paraId="1ADF67C4"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в автотранспортному засобі, вагоні, контейнері</w:t>
            </w:r>
          </w:p>
        </w:tc>
        <w:tc>
          <w:tcPr>
            <w:tcW w:w="1477" w:type="dxa"/>
          </w:tcPr>
          <w:p w14:paraId="079C7E82"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19ADEC76"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0,0028</w:t>
            </w:r>
          </w:p>
        </w:tc>
      </w:tr>
      <w:tr w:rsidR="00BB6110" w14:paraId="4D82F003" w14:textId="77777777">
        <w:tc>
          <w:tcPr>
            <w:tcW w:w="5804" w:type="dxa"/>
          </w:tcPr>
          <w:p w14:paraId="211D123B"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 на суднах</w:t>
            </w:r>
          </w:p>
        </w:tc>
        <w:tc>
          <w:tcPr>
            <w:tcW w:w="1477" w:type="dxa"/>
          </w:tcPr>
          <w:p w14:paraId="73512CCF" w14:textId="77777777" w:rsidR="00BB6110" w:rsidRDefault="00BB6110">
            <w:pPr>
              <w:pBdr>
                <w:top w:val="nil"/>
                <w:left w:val="nil"/>
                <w:bottom w:val="nil"/>
                <w:right w:val="nil"/>
                <w:between w:val="nil"/>
              </w:pBdr>
              <w:spacing w:before="167" w:after="167"/>
              <w:jc w:val="center"/>
              <w:rPr>
                <w:rFonts w:ascii="Times New Roman" w:eastAsia="Times New Roman" w:hAnsi="Times New Roman" w:cs="Times New Roman"/>
                <w:sz w:val="24"/>
                <w:szCs w:val="24"/>
              </w:rPr>
            </w:pPr>
          </w:p>
        </w:tc>
        <w:tc>
          <w:tcPr>
            <w:tcW w:w="2358" w:type="dxa"/>
          </w:tcPr>
          <w:p w14:paraId="0C30F711"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0,0034</w:t>
            </w:r>
          </w:p>
        </w:tc>
      </w:tr>
      <w:tr w:rsidR="00BB6110" w14:paraId="3E44ABCA" w14:textId="77777777">
        <w:tc>
          <w:tcPr>
            <w:tcW w:w="5804" w:type="dxa"/>
          </w:tcPr>
          <w:p w14:paraId="333E7CB5"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виробів з деревини</w:t>
            </w:r>
          </w:p>
        </w:tc>
        <w:tc>
          <w:tcPr>
            <w:tcW w:w="1477" w:type="dxa"/>
          </w:tcPr>
          <w:p w14:paraId="7F42E884"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тонна</w:t>
            </w:r>
          </w:p>
        </w:tc>
        <w:tc>
          <w:tcPr>
            <w:tcW w:w="2358" w:type="dxa"/>
          </w:tcPr>
          <w:p w14:paraId="44DF1C12"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0,0064</w:t>
            </w:r>
          </w:p>
        </w:tc>
      </w:tr>
      <w:tr w:rsidR="00BB6110" w14:paraId="17B366C5" w14:textId="77777777">
        <w:tc>
          <w:tcPr>
            <w:tcW w:w="5804" w:type="dxa"/>
          </w:tcPr>
          <w:p w14:paraId="6B7F48A2"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пакувальної тари з деревини</w:t>
            </w:r>
          </w:p>
        </w:tc>
        <w:tc>
          <w:tcPr>
            <w:tcW w:w="1477" w:type="dxa"/>
          </w:tcPr>
          <w:p w14:paraId="0D127068"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одиниця</w:t>
            </w:r>
          </w:p>
        </w:tc>
        <w:tc>
          <w:tcPr>
            <w:tcW w:w="2358" w:type="dxa"/>
          </w:tcPr>
          <w:p w14:paraId="176EFB82"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0,001</w:t>
            </w:r>
          </w:p>
        </w:tc>
      </w:tr>
      <w:tr w:rsidR="00BB6110" w14:paraId="36FD064D" w14:textId="77777777">
        <w:tc>
          <w:tcPr>
            <w:tcW w:w="5804" w:type="dxa"/>
          </w:tcPr>
          <w:p w14:paraId="587A646A"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зрізів квітів кількістю до 1000 одиниць та за кожну наступну тисячу одиниць</w:t>
            </w:r>
          </w:p>
        </w:tc>
        <w:tc>
          <w:tcPr>
            <w:tcW w:w="1477" w:type="dxa"/>
          </w:tcPr>
          <w:p w14:paraId="6A6B0FF8"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партія</w:t>
            </w:r>
          </w:p>
        </w:tc>
        <w:tc>
          <w:tcPr>
            <w:tcW w:w="2358" w:type="dxa"/>
          </w:tcPr>
          <w:p w14:paraId="285098A7"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0,006</w:t>
            </w:r>
          </w:p>
        </w:tc>
      </w:tr>
      <w:tr w:rsidR="00BB6110" w14:paraId="1065302B" w14:textId="77777777">
        <w:tc>
          <w:tcPr>
            <w:tcW w:w="5804" w:type="dxa"/>
          </w:tcPr>
          <w:p w14:paraId="23E78454"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свіжих овочів, фруктів вагою до 1000 кілограмів та за кожну наступну тисячу кілограмів</w:t>
            </w:r>
          </w:p>
        </w:tc>
        <w:tc>
          <w:tcPr>
            <w:tcW w:w="1477" w:type="dxa"/>
          </w:tcPr>
          <w:p w14:paraId="03CC4184"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4DFA24DE"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0,007</w:t>
            </w:r>
          </w:p>
        </w:tc>
      </w:tr>
      <w:tr w:rsidR="00BB6110" w14:paraId="32E8BD50" w14:textId="77777777">
        <w:tc>
          <w:tcPr>
            <w:tcW w:w="5804" w:type="dxa"/>
          </w:tcPr>
          <w:p w14:paraId="14F59B18"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зерна, продуктів переробки зерна та продукції борошномельно-круп'яної промисловості вагою до 1000 кілограмів та за кожну наступну тисячу кілограмів</w:t>
            </w:r>
          </w:p>
        </w:tc>
        <w:tc>
          <w:tcPr>
            <w:tcW w:w="1477" w:type="dxa"/>
          </w:tcPr>
          <w:p w14:paraId="2D4BA769"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4A6229C1"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0,0026</w:t>
            </w:r>
          </w:p>
        </w:tc>
      </w:tr>
      <w:tr w:rsidR="00BB6110" w14:paraId="5D7E2961" w14:textId="77777777">
        <w:tc>
          <w:tcPr>
            <w:tcW w:w="5804" w:type="dxa"/>
          </w:tcPr>
          <w:p w14:paraId="25B364A1"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насіння не для сівби технічних і олійних культур та плоди технічних і олійних культур загальною вагою до 1000 кілограмів та за кожну наступну тисячу кілограмів</w:t>
            </w:r>
          </w:p>
        </w:tc>
        <w:tc>
          <w:tcPr>
            <w:tcW w:w="1477" w:type="dxa"/>
          </w:tcPr>
          <w:p w14:paraId="6E2841A9"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196BF40C"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0,0026</w:t>
            </w:r>
          </w:p>
        </w:tc>
      </w:tr>
      <w:tr w:rsidR="00BB6110" w14:paraId="14F8EBB8" w14:textId="77777777">
        <w:tc>
          <w:tcPr>
            <w:tcW w:w="5804" w:type="dxa"/>
          </w:tcPr>
          <w:p w14:paraId="4C0650D8" w14:textId="77777777" w:rsidR="00BB6110" w:rsidRDefault="002827DA">
            <w:pPr>
              <w:pBdr>
                <w:top w:val="nil"/>
                <w:left w:val="nil"/>
                <w:bottom w:val="nil"/>
                <w:right w:val="nil"/>
                <w:between w:val="nil"/>
              </w:pBdr>
              <w:spacing w:before="167" w:after="167"/>
              <w:rPr>
                <w:rFonts w:ascii="Times New Roman" w:eastAsia="Times New Roman" w:hAnsi="Times New Roman" w:cs="Times New Roman"/>
                <w:sz w:val="24"/>
                <w:szCs w:val="24"/>
              </w:rPr>
            </w:pPr>
            <w:r>
              <w:rPr>
                <w:rFonts w:ascii="Times New Roman" w:eastAsia="Times New Roman" w:hAnsi="Times New Roman" w:cs="Times New Roman"/>
                <w:sz w:val="24"/>
                <w:szCs w:val="24"/>
              </w:rPr>
              <w:t>продуктів харчування вагою до 1000 кілограмів та за кожну наступну тисячу кілограмів</w:t>
            </w:r>
          </w:p>
        </w:tc>
        <w:tc>
          <w:tcPr>
            <w:tcW w:w="1477" w:type="dxa"/>
          </w:tcPr>
          <w:p w14:paraId="295849CF"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3B144DC9" w14:textId="77777777" w:rsidR="00BB6110" w:rsidRDefault="002827DA">
            <w:pPr>
              <w:pBdr>
                <w:top w:val="nil"/>
                <w:left w:val="nil"/>
                <w:bottom w:val="nil"/>
                <w:right w:val="nil"/>
                <w:between w:val="nil"/>
              </w:pBdr>
              <w:spacing w:before="167" w:after="167"/>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0,0036</w:t>
            </w:r>
          </w:p>
        </w:tc>
      </w:tr>
      <w:tr w:rsidR="00BB6110" w14:paraId="12DC4B0D" w14:textId="77777777">
        <w:tc>
          <w:tcPr>
            <w:tcW w:w="5804" w:type="dxa"/>
          </w:tcPr>
          <w:p w14:paraId="2C77A133" w14:textId="77777777" w:rsidR="00BB6110" w:rsidRDefault="002827DA">
            <w:pPr>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інших об’єктів регулювання вагою до 1000 кілограмів та за кожну наступну тисячу кілограмів</w:t>
            </w:r>
          </w:p>
        </w:tc>
        <w:tc>
          <w:tcPr>
            <w:tcW w:w="1477" w:type="dxa"/>
          </w:tcPr>
          <w:p w14:paraId="046FF394" w14:textId="77777777" w:rsidR="00BB6110" w:rsidRDefault="002827DA">
            <w:pPr>
              <w:pBdr>
                <w:top w:val="nil"/>
                <w:left w:val="nil"/>
                <w:bottom w:val="nil"/>
                <w:right w:val="nil"/>
                <w:between w:val="nil"/>
              </w:pBd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c>
          <w:tcPr>
            <w:tcW w:w="2358" w:type="dxa"/>
          </w:tcPr>
          <w:p w14:paraId="55E02445" w14:textId="39387575" w:rsidR="00BB6110" w:rsidRPr="006004F5" w:rsidRDefault="002827DA">
            <w:pPr>
              <w:pBdr>
                <w:top w:val="nil"/>
                <w:left w:val="nil"/>
                <w:bottom w:val="nil"/>
                <w:right w:val="nil"/>
                <w:between w:val="nil"/>
              </w:pBdr>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0,003</w:t>
            </w:r>
            <w:r w:rsidR="006004F5">
              <w:rPr>
                <w:rFonts w:ascii="Times New Roman" w:eastAsia="Times New Roman" w:hAnsi="Times New Roman" w:cs="Times New Roman"/>
                <w:sz w:val="24"/>
                <w:szCs w:val="24"/>
                <w:lang w:val="en-US"/>
              </w:rPr>
              <w:t>”</w:t>
            </w:r>
          </w:p>
        </w:tc>
      </w:tr>
    </w:tbl>
    <w:p w14:paraId="2837FF5A" w14:textId="77777777" w:rsidR="00BB6110" w:rsidRDefault="00BB6110">
      <w:pPr>
        <w:jc w:val="both"/>
        <w:rPr>
          <w:rFonts w:ascii="Times New Roman" w:eastAsia="Times New Roman" w:hAnsi="Times New Roman" w:cs="Times New Roman"/>
          <w:sz w:val="27"/>
          <w:szCs w:val="27"/>
        </w:rPr>
      </w:pPr>
    </w:p>
    <w:p w14:paraId="074BDA11" w14:textId="77777777" w:rsidR="00BB6110" w:rsidRDefault="002827DA">
      <w:pPr>
        <w:pBdr>
          <w:top w:val="nil"/>
          <w:left w:val="nil"/>
          <w:bottom w:val="nil"/>
          <w:right w:val="nil"/>
          <w:between w:val="nil"/>
        </w:pBdr>
        <w:shd w:val="clear" w:color="auto" w:fill="FFFFFF"/>
        <w:spacing w:after="167"/>
        <w:ind w:firstLine="709"/>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2) доповнити додаток приміткою такого змісту:</w:t>
      </w:r>
    </w:p>
    <w:p w14:paraId="03F984C3" w14:textId="5C41DED5" w:rsidR="00BB6110" w:rsidRDefault="006004F5">
      <w:pPr>
        <w:jc w:val="both"/>
        <w:rPr>
          <w:rFonts w:ascii="Times New Roman" w:eastAsia="Times New Roman" w:hAnsi="Times New Roman" w:cs="Times New Roman"/>
          <w:sz w:val="20"/>
          <w:szCs w:val="20"/>
          <w:highlight w:val="white"/>
        </w:rPr>
      </w:pPr>
      <w:r w:rsidRPr="006004F5">
        <w:rPr>
          <w:rFonts w:ascii="Times New Roman" w:eastAsia="Times New Roman" w:hAnsi="Times New Roman" w:cs="Times New Roman"/>
          <w:b/>
          <w:bCs/>
          <w:sz w:val="20"/>
          <w:szCs w:val="20"/>
          <w:highlight w:val="white"/>
          <w:lang w:val="ru-RU"/>
        </w:rPr>
        <w:t>“</w:t>
      </w:r>
      <w:r w:rsidR="002827DA">
        <w:rPr>
          <w:rFonts w:ascii="Times New Roman" w:eastAsia="Times New Roman" w:hAnsi="Times New Roman" w:cs="Times New Roman"/>
          <w:b/>
          <w:bCs/>
          <w:sz w:val="20"/>
          <w:szCs w:val="20"/>
          <w:highlight w:val="white"/>
        </w:rPr>
        <w:t xml:space="preserve">* </w:t>
      </w:r>
      <w:r w:rsidR="002827DA">
        <w:rPr>
          <w:rFonts w:ascii="Times New Roman" w:eastAsia="Times New Roman" w:hAnsi="Times New Roman" w:cs="Times New Roman"/>
          <w:sz w:val="20"/>
          <w:szCs w:val="20"/>
          <w:highlight w:val="white"/>
        </w:rPr>
        <w:t xml:space="preserve">розмір плати за проведення спільного огляду фахівцем </w:t>
      </w:r>
      <w:r w:rsidR="002827DA" w:rsidRPr="00C0351A">
        <w:rPr>
          <w:rFonts w:ascii="Times New Roman" w:eastAsia="Times New Roman" w:hAnsi="Times New Roman" w:cs="Times New Roman"/>
          <w:sz w:val="20"/>
          <w:szCs w:val="20"/>
        </w:rPr>
        <w:t>уповноваженої</w:t>
      </w:r>
      <w:r w:rsidR="002827DA">
        <w:rPr>
          <w:rFonts w:ascii="Times New Roman" w:eastAsia="Times New Roman" w:hAnsi="Times New Roman" w:cs="Times New Roman"/>
          <w:sz w:val="20"/>
          <w:szCs w:val="20"/>
          <w:highlight w:val="white"/>
        </w:rPr>
        <w:t xml:space="preserve"> фітосанітарної лабораторії та державним фітосанітарним інспектором розраховується та визначається за такою формулою:</w:t>
      </w:r>
    </w:p>
    <w:p w14:paraId="1666E45D" w14:textId="03435CDB" w:rsidR="00BB6110" w:rsidRDefault="002827DA">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СО</w:t>
      </w:r>
      <w:r w:rsidR="009D1D58">
        <w:rPr>
          <w:rFonts w:ascii="Times New Roman" w:eastAsia="Times New Roman" w:hAnsi="Times New Roman" w:cs="Times New Roman"/>
          <w:sz w:val="20"/>
          <w:szCs w:val="20"/>
          <w:highlight w:val="white"/>
          <w:lang w:val="uk-UA"/>
        </w:rPr>
        <w:t xml:space="preserve"> </w:t>
      </w:r>
      <w:r>
        <w:rPr>
          <w:rFonts w:ascii="Times New Roman" w:eastAsia="Times New Roman" w:hAnsi="Times New Roman" w:cs="Times New Roman"/>
          <w:sz w:val="20"/>
          <w:szCs w:val="20"/>
          <w:highlight w:val="white"/>
        </w:rPr>
        <w:t xml:space="preserve">= О </w:t>
      </w:r>
      <w:proofErr w:type="spellStart"/>
      <w:r>
        <w:rPr>
          <w:rFonts w:ascii="Times New Roman" w:eastAsia="Times New Roman" w:hAnsi="Times New Roman" w:cs="Times New Roman"/>
          <w:sz w:val="20"/>
          <w:szCs w:val="20"/>
          <w:highlight w:val="white"/>
        </w:rPr>
        <w:t>дфі</w:t>
      </w:r>
      <w:proofErr w:type="spellEnd"/>
      <w:r>
        <w:rPr>
          <w:rFonts w:ascii="Times New Roman" w:eastAsia="Times New Roman" w:hAnsi="Times New Roman" w:cs="Times New Roman"/>
          <w:sz w:val="20"/>
          <w:szCs w:val="20"/>
          <w:highlight w:val="white"/>
        </w:rPr>
        <w:t xml:space="preserve"> + О </w:t>
      </w:r>
      <w:proofErr w:type="spellStart"/>
      <w:r>
        <w:rPr>
          <w:rFonts w:ascii="Times New Roman" w:eastAsia="Times New Roman" w:hAnsi="Times New Roman" w:cs="Times New Roman"/>
          <w:sz w:val="20"/>
          <w:szCs w:val="20"/>
          <w:highlight w:val="white"/>
        </w:rPr>
        <w:t>ффл</w:t>
      </w:r>
      <w:proofErr w:type="spellEnd"/>
      <w:r>
        <w:rPr>
          <w:rFonts w:ascii="Times New Roman" w:eastAsia="Times New Roman" w:hAnsi="Times New Roman" w:cs="Times New Roman"/>
          <w:sz w:val="20"/>
          <w:szCs w:val="20"/>
          <w:highlight w:val="white"/>
        </w:rPr>
        <w:t>,</w:t>
      </w:r>
    </w:p>
    <w:p w14:paraId="04538E1E" w14:textId="3E2A6874" w:rsidR="00BB6110" w:rsidRDefault="00214B74">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lang w:val="uk-UA"/>
        </w:rPr>
        <w:t>д</w:t>
      </w:r>
      <w:r w:rsidR="002827DA">
        <w:rPr>
          <w:rFonts w:ascii="Times New Roman" w:eastAsia="Times New Roman" w:hAnsi="Times New Roman" w:cs="Times New Roman"/>
          <w:sz w:val="20"/>
          <w:szCs w:val="20"/>
          <w:highlight w:val="white"/>
        </w:rPr>
        <w:t>е</w:t>
      </w:r>
      <w:r>
        <w:rPr>
          <w:rFonts w:ascii="Times New Roman" w:eastAsia="Times New Roman" w:hAnsi="Times New Roman" w:cs="Times New Roman"/>
          <w:sz w:val="20"/>
          <w:szCs w:val="20"/>
          <w:highlight w:val="white"/>
          <w:lang w:val="uk-UA"/>
        </w:rPr>
        <w:t>:</w:t>
      </w:r>
      <w:r w:rsidR="002827DA">
        <w:rPr>
          <w:rFonts w:ascii="Times New Roman" w:eastAsia="Times New Roman" w:hAnsi="Times New Roman" w:cs="Times New Roman"/>
          <w:sz w:val="20"/>
          <w:szCs w:val="20"/>
          <w:highlight w:val="white"/>
        </w:rPr>
        <w:t xml:space="preserve"> </w:t>
      </w:r>
    </w:p>
    <w:p w14:paraId="147FCF92" w14:textId="77777777" w:rsidR="00BB6110" w:rsidRDefault="002827DA">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СО – спільний огляд;</w:t>
      </w:r>
    </w:p>
    <w:p w14:paraId="064AD023" w14:textId="77777777" w:rsidR="00BB6110" w:rsidRDefault="002827DA">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О </w:t>
      </w:r>
      <w:proofErr w:type="spellStart"/>
      <w:r>
        <w:rPr>
          <w:rFonts w:ascii="Times New Roman" w:eastAsia="Times New Roman" w:hAnsi="Times New Roman" w:cs="Times New Roman"/>
          <w:sz w:val="20"/>
          <w:szCs w:val="20"/>
          <w:highlight w:val="white"/>
        </w:rPr>
        <w:t>дфі</w:t>
      </w:r>
      <w:proofErr w:type="spellEnd"/>
      <w:r>
        <w:rPr>
          <w:rFonts w:ascii="Times New Roman" w:eastAsia="Times New Roman" w:hAnsi="Times New Roman" w:cs="Times New Roman"/>
          <w:sz w:val="20"/>
          <w:szCs w:val="20"/>
          <w:highlight w:val="white"/>
        </w:rPr>
        <w:t xml:space="preserve"> – розмір плати за послугу, яку надає державний фітосанітарний інспектор, становить 50% від розміру плати за надання послуги “Проведення огляду”, визначеної пунктом 4 цього додатка; </w:t>
      </w:r>
    </w:p>
    <w:p w14:paraId="7F1F75C0" w14:textId="5F47A077" w:rsidR="00BB6110" w:rsidRDefault="002827DA">
      <w:pPr>
        <w:pBdr>
          <w:top w:val="nil"/>
          <w:left w:val="nil"/>
          <w:bottom w:val="nil"/>
          <w:right w:val="nil"/>
          <w:between w:val="nil"/>
        </w:pBdr>
        <w:shd w:val="clear" w:color="auto" w:fill="FFFFFF"/>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О </w:t>
      </w:r>
      <w:proofErr w:type="spellStart"/>
      <w:r>
        <w:rPr>
          <w:rFonts w:ascii="Times New Roman" w:eastAsia="Times New Roman" w:hAnsi="Times New Roman" w:cs="Times New Roman"/>
          <w:sz w:val="20"/>
          <w:szCs w:val="20"/>
          <w:highlight w:val="white"/>
        </w:rPr>
        <w:t>ффл</w:t>
      </w:r>
      <w:proofErr w:type="spellEnd"/>
      <w:r>
        <w:rPr>
          <w:rFonts w:ascii="Times New Roman" w:eastAsia="Times New Roman" w:hAnsi="Times New Roman" w:cs="Times New Roman"/>
          <w:sz w:val="20"/>
          <w:szCs w:val="20"/>
          <w:highlight w:val="white"/>
        </w:rPr>
        <w:t xml:space="preserve"> - розмір плати за послугу, яку надає </w:t>
      </w:r>
      <w:r w:rsidRPr="00C0351A">
        <w:rPr>
          <w:rFonts w:ascii="Times New Roman" w:eastAsia="Times New Roman" w:hAnsi="Times New Roman" w:cs="Times New Roman"/>
          <w:sz w:val="20"/>
          <w:szCs w:val="20"/>
        </w:rPr>
        <w:t xml:space="preserve">фахівець уповноваженої </w:t>
      </w:r>
      <w:r>
        <w:rPr>
          <w:rFonts w:ascii="Times New Roman" w:eastAsia="Times New Roman" w:hAnsi="Times New Roman" w:cs="Times New Roman"/>
          <w:sz w:val="20"/>
          <w:szCs w:val="20"/>
          <w:highlight w:val="white"/>
        </w:rPr>
        <w:t>фітосанітарної лабораторії, а саме здійснення відбору зразків, становить 50% від розміру плати за надання послуги “Проведення огляду”, визначеної пунктом 4 цього додатка, крім уповноваженої фітосанітарної лабораторії приватної форми в</w:t>
      </w:r>
      <w:r>
        <w:rPr>
          <w:rFonts w:ascii="Times New Roman" w:eastAsia="Times New Roman" w:hAnsi="Times New Roman" w:cs="Times New Roman"/>
          <w:sz w:val="20"/>
          <w:szCs w:val="20"/>
        </w:rPr>
        <w:t>ласності.</w:t>
      </w:r>
      <w:r w:rsidR="006004F5" w:rsidRPr="006004F5">
        <w:rPr>
          <w:rFonts w:ascii="Times New Roman" w:eastAsia="Times New Roman" w:hAnsi="Times New Roman" w:cs="Times New Roman"/>
          <w:sz w:val="20"/>
          <w:szCs w:val="20"/>
        </w:rPr>
        <w:t>”</w:t>
      </w:r>
      <w:r>
        <w:rPr>
          <w:rFonts w:ascii="Times New Roman" w:eastAsia="Times New Roman" w:hAnsi="Times New Roman" w:cs="Times New Roman"/>
          <w:sz w:val="20"/>
          <w:szCs w:val="20"/>
        </w:rPr>
        <w:t>.</w:t>
      </w:r>
    </w:p>
    <w:p w14:paraId="74F538F0" w14:textId="77777777" w:rsidR="00BB6110" w:rsidRDefault="00BB6110">
      <w:pPr>
        <w:pBdr>
          <w:top w:val="nil"/>
          <w:left w:val="nil"/>
          <w:bottom w:val="nil"/>
          <w:right w:val="nil"/>
          <w:between w:val="nil"/>
        </w:pBdr>
        <w:shd w:val="clear" w:color="auto" w:fill="FFFFFF"/>
        <w:spacing w:after="167"/>
        <w:jc w:val="both"/>
        <w:rPr>
          <w:rFonts w:ascii="Times New Roman" w:eastAsia="Times New Roman" w:hAnsi="Times New Roman" w:cs="Times New Roman"/>
          <w:sz w:val="27"/>
          <w:szCs w:val="27"/>
          <w:highlight w:val="white"/>
        </w:rPr>
      </w:pPr>
    </w:p>
    <w:p w14:paraId="7E96487E" w14:textId="616E4AC4" w:rsidR="00BB6110" w:rsidRDefault="002827DA">
      <w:pPr>
        <w:pBdr>
          <w:top w:val="nil"/>
          <w:left w:val="nil"/>
          <w:bottom w:val="nil"/>
          <w:right w:val="nil"/>
          <w:between w:val="nil"/>
        </w:pBdr>
        <w:shd w:val="clear" w:color="auto" w:fill="FFFFFF"/>
        <w:spacing w:before="280" w:after="280"/>
        <w:ind w:firstLine="709"/>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rPr>
        <w:t xml:space="preserve">2. </w:t>
      </w:r>
      <w:r>
        <w:rPr>
          <w:rFonts w:ascii="Times New Roman" w:eastAsia="Times New Roman" w:hAnsi="Times New Roman" w:cs="Times New Roman"/>
          <w:sz w:val="27"/>
          <w:szCs w:val="27"/>
          <w:highlight w:val="white"/>
        </w:rPr>
        <w:t xml:space="preserve">Пункт 10 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 Законом України “Про карантин рослин”, контролю за проведенням огляду в частині відбору зразків та вибіркового контролю за проведенням фітосанітарної експертизи (аналізів), затвердженого постановою Кабінету Міністрів України від 15 листопада 2019 р. № 1177 </w:t>
      </w:r>
      <w:r w:rsidR="006004F5" w:rsidRPr="006004F5">
        <w:rPr>
          <w:rFonts w:ascii="Times New Roman" w:eastAsia="Times New Roman" w:hAnsi="Times New Roman" w:cs="Times New Roman"/>
          <w:sz w:val="27"/>
          <w:szCs w:val="27"/>
          <w:highlight w:val="white"/>
        </w:rPr>
        <w:t>“</w:t>
      </w:r>
      <w:r>
        <w:rPr>
          <w:rFonts w:ascii="Times New Roman" w:eastAsia="Times New Roman" w:hAnsi="Times New Roman" w:cs="Times New Roman"/>
          <w:sz w:val="27"/>
          <w:szCs w:val="27"/>
          <w:highlight w:val="white"/>
        </w:rPr>
        <w:t xml:space="preserve">Деякі питання реалізації Закону України “Про карантин рослин” (Офіційний вісник України, </w:t>
      </w:r>
      <w:r w:rsidR="00F50F9D">
        <w:rPr>
          <w:rFonts w:ascii="Times New Roman" w:eastAsia="Times New Roman" w:hAnsi="Times New Roman" w:cs="Times New Roman"/>
          <w:sz w:val="27"/>
          <w:szCs w:val="27"/>
          <w:highlight w:val="white"/>
          <w:lang w:val="uk-UA"/>
        </w:rPr>
        <w:t xml:space="preserve">                        </w:t>
      </w:r>
      <w:r>
        <w:rPr>
          <w:rFonts w:ascii="Times New Roman" w:eastAsia="Times New Roman" w:hAnsi="Times New Roman" w:cs="Times New Roman"/>
          <w:sz w:val="27"/>
          <w:szCs w:val="27"/>
          <w:highlight w:val="white"/>
        </w:rPr>
        <w:t>2020 р., № 12, ст. 472), доповнити абзацом такого змісту:</w:t>
      </w:r>
    </w:p>
    <w:p w14:paraId="66680CF9" w14:textId="11897DE8" w:rsidR="00BB6110" w:rsidRDefault="002827DA">
      <w:pPr>
        <w:ind w:firstLine="709"/>
        <w:jc w:val="both"/>
        <w:rPr>
          <w:rFonts w:ascii="Times New Roman" w:eastAsia="Times New Roman" w:hAnsi="Times New Roman" w:cs="Times New Roman"/>
          <w:sz w:val="27"/>
          <w:szCs w:val="27"/>
          <w:highlight w:val="white"/>
        </w:rPr>
      </w:pPr>
      <w:r>
        <w:rPr>
          <w:rFonts w:ascii="Times New Roman" w:eastAsia="Times New Roman" w:hAnsi="Times New Roman" w:cs="Times New Roman"/>
          <w:sz w:val="27"/>
          <w:szCs w:val="27"/>
          <w:highlight w:val="white"/>
        </w:rPr>
        <w:t xml:space="preserve">“У разі проведення спільного огляду державним фітосанітарним інспектором та фахівцем </w:t>
      </w:r>
      <w:r w:rsidRPr="00C0351A">
        <w:rPr>
          <w:rFonts w:ascii="Times New Roman" w:eastAsia="Times New Roman" w:hAnsi="Times New Roman" w:cs="Times New Roman"/>
          <w:sz w:val="27"/>
          <w:szCs w:val="27"/>
        </w:rPr>
        <w:t>уповноваженої</w:t>
      </w:r>
      <w:r>
        <w:rPr>
          <w:rFonts w:ascii="Times New Roman" w:eastAsia="Times New Roman" w:hAnsi="Times New Roman" w:cs="Times New Roman"/>
          <w:sz w:val="27"/>
          <w:szCs w:val="27"/>
          <w:highlight w:val="white"/>
        </w:rPr>
        <w:t xml:space="preserve"> фітосанітарної лабораторії приватної форми власності,</w:t>
      </w:r>
      <w:r w:rsidR="007B6F68" w:rsidRPr="007B6F68">
        <w:rPr>
          <w:color w:val="333333"/>
          <w:shd w:val="clear" w:color="auto" w:fill="FFFFFF"/>
        </w:rPr>
        <w:t xml:space="preserve"> </w:t>
      </w:r>
      <w:r>
        <w:rPr>
          <w:rFonts w:ascii="Times New Roman" w:eastAsia="Times New Roman" w:hAnsi="Times New Roman" w:cs="Times New Roman"/>
          <w:sz w:val="27"/>
          <w:szCs w:val="27"/>
          <w:highlight w:val="white"/>
        </w:rPr>
        <w:t xml:space="preserve">розмір плати, що </w:t>
      </w:r>
      <w:r w:rsidRPr="00C0351A">
        <w:rPr>
          <w:rFonts w:ascii="Times New Roman" w:eastAsia="Times New Roman" w:hAnsi="Times New Roman" w:cs="Times New Roman"/>
          <w:sz w:val="27"/>
          <w:szCs w:val="27"/>
          <w:highlight w:val="white"/>
        </w:rPr>
        <w:t xml:space="preserve">стягується </w:t>
      </w:r>
      <w:r w:rsidRPr="00C0351A">
        <w:rPr>
          <w:rFonts w:ascii="Times New Roman" w:eastAsia="Times New Roman" w:hAnsi="Times New Roman" w:cs="Times New Roman"/>
          <w:sz w:val="27"/>
          <w:szCs w:val="27"/>
        </w:rPr>
        <w:t xml:space="preserve">головними управліннями Держпродспоживслужби в областях та м. Києві </w:t>
      </w:r>
      <w:r w:rsidRPr="00C0351A">
        <w:rPr>
          <w:rFonts w:ascii="Times New Roman" w:eastAsia="Times New Roman" w:hAnsi="Times New Roman" w:cs="Times New Roman"/>
          <w:sz w:val="27"/>
          <w:szCs w:val="27"/>
          <w:highlight w:val="white"/>
        </w:rPr>
        <w:t xml:space="preserve">за </w:t>
      </w:r>
      <w:r>
        <w:rPr>
          <w:rFonts w:ascii="Times New Roman" w:eastAsia="Times New Roman" w:hAnsi="Times New Roman" w:cs="Times New Roman"/>
          <w:sz w:val="27"/>
          <w:szCs w:val="27"/>
          <w:highlight w:val="white"/>
        </w:rPr>
        <w:t>надання такої послуги, становить 50 % від розміру плати за надання послуги “Проведення огляду”, визначеної пунктом 4 додатка 1 до постанови Кабінету Міністрів України від 28 грудня 2011 р. № 1348 “Деякі питання надання послуг Державною службою з питань безпечності харчових продуктів та захисту споживачів, органами та установами, що належать до сфери її управління”.”.</w:t>
      </w:r>
    </w:p>
    <w:p w14:paraId="40C68865" w14:textId="77777777" w:rsidR="00BB6110" w:rsidRDefault="00BB6110">
      <w:pPr>
        <w:pBdr>
          <w:top w:val="nil"/>
          <w:left w:val="nil"/>
          <w:bottom w:val="nil"/>
          <w:right w:val="nil"/>
          <w:between w:val="nil"/>
        </w:pBdr>
        <w:shd w:val="clear" w:color="auto" w:fill="FFFFFF"/>
        <w:spacing w:after="167"/>
        <w:jc w:val="both"/>
        <w:rPr>
          <w:rFonts w:ascii="Times New Roman" w:eastAsia="Times New Roman" w:hAnsi="Times New Roman" w:cs="Times New Roman"/>
          <w:sz w:val="27"/>
          <w:szCs w:val="27"/>
          <w:highlight w:val="white"/>
        </w:rPr>
      </w:pPr>
    </w:p>
    <w:p w14:paraId="1B6B5FAA" w14:textId="77777777" w:rsidR="00BB6110" w:rsidRDefault="002827DA">
      <w:pPr>
        <w:pBdr>
          <w:top w:val="nil"/>
          <w:left w:val="nil"/>
          <w:bottom w:val="nil"/>
          <w:right w:val="nil"/>
          <w:between w:val="nil"/>
        </w:pBdr>
        <w:shd w:val="clear" w:color="auto" w:fill="FFFFFF"/>
        <w:spacing w:after="167"/>
        <w:ind w:firstLine="709"/>
        <w:jc w:val="both"/>
        <w:rPr>
          <w:rFonts w:ascii="Times New Roman" w:eastAsia="Times New Roman" w:hAnsi="Times New Roman" w:cs="Times New Roman"/>
          <w:sz w:val="27"/>
          <w:szCs w:val="27"/>
          <w:highlight w:val="white"/>
        </w:rPr>
      </w:pPr>
      <w:bookmarkStart w:id="0" w:name="bookmark=id.e5jt6se737qj" w:colFirst="0" w:colLast="0"/>
      <w:bookmarkEnd w:id="0"/>
      <w:r>
        <w:rPr>
          <w:rFonts w:ascii="Times New Roman" w:eastAsia="Times New Roman" w:hAnsi="Times New Roman" w:cs="Times New Roman"/>
          <w:sz w:val="27"/>
          <w:szCs w:val="27"/>
          <w:highlight w:val="white"/>
        </w:rPr>
        <w:t xml:space="preserve">3. Підпункт 2 пункту 1 постанови Кабінету Міністрів України від 1 квітня 2022 р. № 398 “Деякі питання здійснення фітосанітарних заходів та процедур, заходів державного контролю у сферах ветеринарної медицини, безпечності та окремих показників якості харчових продуктів в умовах воєнного стану” (Офіційний вісник України, 2022 р., № 29, ст. 1576; № 64 ст. 3855; № 76 ст. 4574; </w:t>
      </w:r>
      <w:r>
        <w:rPr>
          <w:rFonts w:ascii="Times New Roman" w:eastAsia="Times New Roman" w:hAnsi="Times New Roman" w:cs="Times New Roman"/>
          <w:sz w:val="27"/>
          <w:szCs w:val="27"/>
          <w:highlight w:val="white"/>
        </w:rPr>
        <w:br/>
        <w:t>№ 80 ст. 4854; 2023 р., № 44, ст. 2337; № 91, ст. 5297; 2024 р., № 13, ст. 840; 2025 р., № 53, ст. 3684) доповнити абзацом такого змісту:</w:t>
      </w:r>
    </w:p>
    <w:p w14:paraId="4FF600C3" w14:textId="2A22F427" w:rsidR="00BB6110" w:rsidRDefault="002827DA" w:rsidP="007B6F68">
      <w:pPr>
        <w:pBdr>
          <w:top w:val="nil"/>
          <w:left w:val="nil"/>
          <w:bottom w:val="nil"/>
          <w:right w:val="nil"/>
          <w:between w:val="nil"/>
        </w:pBdr>
        <w:shd w:val="clear" w:color="auto" w:fill="FFFFFF"/>
        <w:spacing w:after="167"/>
        <w:ind w:firstLine="709"/>
        <w:jc w:val="both"/>
        <w:rPr>
          <w:rFonts w:ascii="Times New Roman" w:eastAsia="Times New Roman" w:hAnsi="Times New Roman" w:cs="Times New Roman"/>
          <w:sz w:val="27"/>
          <w:szCs w:val="27"/>
          <w:lang w:val="uk-UA"/>
        </w:rPr>
      </w:pPr>
      <w:r>
        <w:rPr>
          <w:rFonts w:ascii="Times New Roman" w:eastAsia="Times New Roman" w:hAnsi="Times New Roman" w:cs="Times New Roman"/>
          <w:sz w:val="27"/>
          <w:szCs w:val="27"/>
          <w:highlight w:val="white"/>
        </w:rPr>
        <w:t>“Державні фітосанітарні лабораторії, включені до Переліку фітосанітарних лабораторій, передбаченого пунктом 1</w:t>
      </w:r>
      <w:r>
        <w:rPr>
          <w:rFonts w:ascii="Times New Roman" w:eastAsia="Times New Roman" w:hAnsi="Times New Roman" w:cs="Times New Roman"/>
          <w:sz w:val="27"/>
          <w:szCs w:val="27"/>
          <w:highlight w:val="white"/>
          <w:vertAlign w:val="superscript"/>
        </w:rPr>
        <w:t>2</w:t>
      </w:r>
      <w:r>
        <w:rPr>
          <w:rFonts w:ascii="Times New Roman" w:eastAsia="Times New Roman" w:hAnsi="Times New Roman" w:cs="Times New Roman"/>
          <w:sz w:val="27"/>
          <w:szCs w:val="27"/>
          <w:highlight w:val="white"/>
        </w:rPr>
        <w:t xml:space="preserve"> розділу IX </w:t>
      </w:r>
      <w:r w:rsidR="006004F5" w:rsidRPr="006004F5">
        <w:rPr>
          <w:rFonts w:ascii="Times New Roman" w:eastAsia="Times New Roman" w:hAnsi="Times New Roman" w:cs="Times New Roman"/>
          <w:sz w:val="27"/>
          <w:szCs w:val="27"/>
          <w:highlight w:val="white"/>
        </w:rPr>
        <w:t>“</w:t>
      </w:r>
      <w:r>
        <w:rPr>
          <w:rFonts w:ascii="Times New Roman" w:eastAsia="Times New Roman" w:hAnsi="Times New Roman" w:cs="Times New Roman"/>
          <w:sz w:val="27"/>
          <w:szCs w:val="27"/>
          <w:highlight w:val="white"/>
        </w:rPr>
        <w:t>Прикінцеві та перехідні положення</w:t>
      </w:r>
      <w:r w:rsidR="006004F5" w:rsidRPr="006004F5">
        <w:rPr>
          <w:rFonts w:ascii="Times New Roman" w:eastAsia="Times New Roman" w:hAnsi="Times New Roman" w:cs="Times New Roman"/>
          <w:sz w:val="27"/>
          <w:szCs w:val="27"/>
          <w:highlight w:val="white"/>
        </w:rPr>
        <w:t>”</w:t>
      </w:r>
      <w:r>
        <w:rPr>
          <w:rFonts w:ascii="Times New Roman" w:eastAsia="Times New Roman" w:hAnsi="Times New Roman" w:cs="Times New Roman"/>
          <w:sz w:val="27"/>
          <w:szCs w:val="27"/>
          <w:highlight w:val="white"/>
        </w:rPr>
        <w:t xml:space="preserve"> Закону України </w:t>
      </w:r>
      <w:r w:rsidR="006004F5" w:rsidRPr="006004F5">
        <w:rPr>
          <w:rFonts w:ascii="Times New Roman" w:eastAsia="Times New Roman" w:hAnsi="Times New Roman" w:cs="Times New Roman"/>
          <w:sz w:val="27"/>
          <w:szCs w:val="27"/>
          <w:highlight w:val="white"/>
        </w:rPr>
        <w:t>“</w:t>
      </w:r>
      <w:r>
        <w:rPr>
          <w:rFonts w:ascii="Times New Roman" w:eastAsia="Times New Roman" w:hAnsi="Times New Roman" w:cs="Times New Roman"/>
          <w:sz w:val="27"/>
          <w:szCs w:val="27"/>
          <w:highlight w:val="white"/>
        </w:rPr>
        <w:t>Про карантин рослин</w:t>
      </w:r>
      <w:r w:rsidR="006004F5" w:rsidRPr="006004F5">
        <w:rPr>
          <w:rFonts w:ascii="Times New Roman" w:eastAsia="Times New Roman" w:hAnsi="Times New Roman" w:cs="Times New Roman"/>
          <w:sz w:val="27"/>
          <w:szCs w:val="27"/>
        </w:rPr>
        <w:t>”</w:t>
      </w:r>
      <w:r w:rsidRPr="006004F5">
        <w:rPr>
          <w:rFonts w:ascii="Times New Roman" w:eastAsia="Times New Roman" w:hAnsi="Times New Roman" w:cs="Times New Roman"/>
          <w:sz w:val="27"/>
          <w:szCs w:val="27"/>
        </w:rPr>
        <w:t xml:space="preserve">, </w:t>
      </w:r>
      <w:r w:rsidRPr="00C0351A">
        <w:rPr>
          <w:rFonts w:ascii="Times New Roman" w:eastAsia="Times New Roman" w:hAnsi="Times New Roman" w:cs="Times New Roman"/>
          <w:sz w:val="27"/>
          <w:szCs w:val="27"/>
        </w:rPr>
        <w:t>можуть здійснювати огляд</w:t>
      </w:r>
      <w:r w:rsidRPr="006004F5">
        <w:rPr>
          <w:rFonts w:ascii="Times New Roman" w:eastAsia="Times New Roman" w:hAnsi="Times New Roman" w:cs="Times New Roman"/>
          <w:sz w:val="27"/>
          <w:szCs w:val="27"/>
        </w:rPr>
        <w:t xml:space="preserve"> </w:t>
      </w:r>
      <w:r>
        <w:rPr>
          <w:rFonts w:ascii="Times New Roman" w:eastAsia="Times New Roman" w:hAnsi="Times New Roman" w:cs="Times New Roman"/>
          <w:sz w:val="27"/>
          <w:szCs w:val="27"/>
          <w:highlight w:val="white"/>
        </w:rPr>
        <w:t xml:space="preserve">об’єктів регулювання відповідно до Порядку проведення інспектування, огляду, фітосанітарної експертизи (аналізів), повторної фітосанітарної (арбітражної) експертизи (аналізів), нагляду, обстеження, моніторингу, знезараження об’єктів регулювання, оформлення сертифікатів, передбачених Законом України “Про карантин рослин”, контролю за проведенням огляду в частині відбору зразків та </w:t>
      </w:r>
      <w:r>
        <w:rPr>
          <w:rFonts w:ascii="Times New Roman" w:eastAsia="Times New Roman" w:hAnsi="Times New Roman" w:cs="Times New Roman"/>
          <w:sz w:val="27"/>
          <w:szCs w:val="27"/>
          <w:highlight w:val="white"/>
        </w:rPr>
        <w:lastRenderedPageBreak/>
        <w:t>вибіркового контролю за проведенням фітосанітарної експертизи (аналізів), затвердженого постановою Кабінету Міністрів України від 15 листопада 2019 р.</w:t>
      </w:r>
      <w:r>
        <w:rPr>
          <w:rFonts w:ascii="Times New Roman" w:eastAsia="Times New Roman" w:hAnsi="Times New Roman" w:cs="Times New Roman"/>
          <w:sz w:val="27"/>
          <w:szCs w:val="27"/>
          <w:highlight w:val="white"/>
        </w:rPr>
        <w:br/>
        <w:t xml:space="preserve">№ 1177, за умов проведення спільного огляду з державним фітосанітарним інспектором та справляння плати за проведення огляду в розмірі, як це передбачено </w:t>
      </w:r>
      <w:r w:rsidRPr="00C0351A">
        <w:rPr>
          <w:rFonts w:ascii="Times New Roman" w:eastAsia="Times New Roman" w:hAnsi="Times New Roman" w:cs="Times New Roman"/>
          <w:sz w:val="27"/>
          <w:szCs w:val="27"/>
        </w:rPr>
        <w:t xml:space="preserve">в примітці </w:t>
      </w:r>
      <w:r>
        <w:rPr>
          <w:rFonts w:ascii="Times New Roman" w:eastAsia="Times New Roman" w:hAnsi="Times New Roman" w:cs="Times New Roman"/>
          <w:sz w:val="27"/>
          <w:szCs w:val="27"/>
          <w:highlight w:val="white"/>
        </w:rPr>
        <w:t xml:space="preserve">до пункту 4 додатку 1 до постанови Кабінету Міністрів України </w:t>
      </w:r>
      <w:r w:rsidR="00F939CC">
        <w:rPr>
          <w:rFonts w:ascii="Times New Roman" w:eastAsia="Times New Roman" w:hAnsi="Times New Roman" w:cs="Times New Roman"/>
          <w:sz w:val="27"/>
          <w:szCs w:val="27"/>
          <w:highlight w:val="white"/>
          <w:lang w:val="uk-UA"/>
        </w:rPr>
        <w:br/>
      </w:r>
      <w:r>
        <w:rPr>
          <w:rFonts w:ascii="Times New Roman" w:eastAsia="Times New Roman" w:hAnsi="Times New Roman" w:cs="Times New Roman"/>
          <w:sz w:val="27"/>
          <w:szCs w:val="27"/>
          <w:highlight w:val="white"/>
        </w:rPr>
        <w:t>від 28 грудня 2011 р. № 1348.”.</w:t>
      </w:r>
      <w:bookmarkStart w:id="1" w:name="bookmark=id.n57zunsmcjl7" w:colFirst="0" w:colLast="0"/>
      <w:bookmarkEnd w:id="1"/>
    </w:p>
    <w:p w14:paraId="250817B4" w14:textId="77777777" w:rsidR="00120597" w:rsidRDefault="00120597" w:rsidP="00F20C50">
      <w:pPr>
        <w:pBdr>
          <w:top w:val="nil"/>
          <w:left w:val="nil"/>
          <w:bottom w:val="nil"/>
          <w:right w:val="nil"/>
          <w:between w:val="nil"/>
        </w:pBdr>
        <w:shd w:val="clear" w:color="auto" w:fill="FFFFFF"/>
        <w:spacing w:after="167"/>
        <w:ind w:firstLine="709"/>
        <w:jc w:val="center"/>
        <w:rPr>
          <w:rFonts w:ascii="Times New Roman" w:eastAsia="Times New Roman" w:hAnsi="Times New Roman" w:cs="Times New Roman"/>
          <w:sz w:val="27"/>
          <w:szCs w:val="27"/>
          <w:lang w:val="uk-UA"/>
        </w:rPr>
      </w:pPr>
    </w:p>
    <w:p w14:paraId="71326252" w14:textId="56A57861" w:rsidR="00F20C50" w:rsidRPr="00F20C50" w:rsidRDefault="00F20C50" w:rsidP="00F20C50">
      <w:pPr>
        <w:pBdr>
          <w:top w:val="nil"/>
          <w:left w:val="nil"/>
          <w:bottom w:val="nil"/>
          <w:right w:val="nil"/>
          <w:between w:val="nil"/>
        </w:pBdr>
        <w:shd w:val="clear" w:color="auto" w:fill="FFFFFF"/>
        <w:spacing w:after="167"/>
        <w:ind w:firstLine="709"/>
        <w:jc w:val="center"/>
        <w:rPr>
          <w:rFonts w:ascii="Times New Roman" w:eastAsia="Times New Roman" w:hAnsi="Times New Roman" w:cs="Times New Roman"/>
          <w:sz w:val="28"/>
          <w:szCs w:val="28"/>
          <w:lang w:val="uk-UA"/>
        </w:rPr>
      </w:pPr>
      <w:r>
        <w:rPr>
          <w:rFonts w:ascii="Times New Roman" w:eastAsia="Times New Roman" w:hAnsi="Times New Roman" w:cs="Times New Roman"/>
          <w:sz w:val="27"/>
          <w:szCs w:val="27"/>
          <w:lang w:val="uk-UA"/>
        </w:rPr>
        <w:t>__________________________________</w:t>
      </w:r>
    </w:p>
    <w:sectPr w:rsidR="00F20C50" w:rsidRPr="00F20C50" w:rsidSect="00214B74">
      <w:headerReference w:type="even" r:id="rId8"/>
      <w:headerReference w:type="default" r:id="rId9"/>
      <w:footerReference w:type="even" r:id="rId10"/>
      <w:footerReference w:type="default" r:id="rId11"/>
      <w:headerReference w:type="first" r:id="rId12"/>
      <w:footerReference w:type="first" r:id="rId13"/>
      <w:pgSz w:w="11906" w:h="16838"/>
      <w:pgMar w:top="850" w:right="850" w:bottom="1843"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F1107" w14:textId="77777777" w:rsidR="0076047B" w:rsidRDefault="0076047B">
      <w:r>
        <w:separator/>
      </w:r>
    </w:p>
  </w:endnote>
  <w:endnote w:type="continuationSeparator" w:id="0">
    <w:p w14:paraId="0DCED929" w14:textId="77777777" w:rsidR="0076047B" w:rsidRDefault="007604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91A996C8-19D2-4465-BA6F-CF31730AA766}"/>
  </w:font>
  <w:font w:name="Cambria">
    <w:panose1 w:val="02040503050406030204"/>
    <w:charset w:val="CC"/>
    <w:family w:val="roman"/>
    <w:pitch w:val="variable"/>
    <w:sig w:usb0="E00006FF" w:usb1="420024FF" w:usb2="02000000" w:usb3="00000000" w:csb0="0000019F" w:csb1="00000000"/>
    <w:embedRegular r:id="rId2" w:fontKey="{F096FDE9-6452-454A-BC37-8E16342AA055}"/>
  </w:font>
  <w:font w:name="Calibri">
    <w:panose1 w:val="020F0502020204030204"/>
    <w:charset w:val="CC"/>
    <w:family w:val="swiss"/>
    <w:pitch w:val="variable"/>
    <w:sig w:usb0="E4002EFF" w:usb1="C200247B" w:usb2="00000009" w:usb3="00000000" w:csb0="000001FF" w:csb1="00000000"/>
    <w:embedRegular r:id="rId3" w:fontKey="{A65B5168-4251-4ECE-9362-F359F0B624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7B34" w14:textId="77777777" w:rsidR="00214B74" w:rsidRDefault="00214B74">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4992307"/>
      <w:docPartObj>
        <w:docPartGallery w:val="Page Numbers (Bottom of Page)"/>
        <w:docPartUnique/>
      </w:docPartObj>
    </w:sdtPr>
    <w:sdtEndPr/>
    <w:sdtContent>
      <w:p w14:paraId="66306FBF" w14:textId="011B03CB" w:rsidR="00214B74" w:rsidRDefault="0076047B">
        <w:pPr>
          <w:pStyle w:val="aa"/>
          <w:jc w:val="center"/>
        </w:pPr>
      </w:p>
    </w:sdtContent>
  </w:sdt>
  <w:p w14:paraId="0248D712" w14:textId="77777777" w:rsidR="00214B74" w:rsidRDefault="00214B74">
    <w:pPr>
      <w:pStyle w:val="a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D27071" w14:textId="77777777" w:rsidR="00214B74" w:rsidRDefault="00214B74">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EEEB0D" w14:textId="77777777" w:rsidR="0076047B" w:rsidRDefault="0076047B">
      <w:r>
        <w:separator/>
      </w:r>
    </w:p>
  </w:footnote>
  <w:footnote w:type="continuationSeparator" w:id="0">
    <w:p w14:paraId="101A3071" w14:textId="77777777" w:rsidR="0076047B" w:rsidRDefault="007604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E9A10" w14:textId="77777777" w:rsidR="00214B74" w:rsidRDefault="00214B7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5002127"/>
      <w:docPartObj>
        <w:docPartGallery w:val="Page Numbers (Top of Page)"/>
        <w:docPartUnique/>
      </w:docPartObj>
    </w:sdtPr>
    <w:sdtEndPr>
      <w:rPr>
        <w:rFonts w:ascii="Times New Roman" w:hAnsi="Times New Roman" w:cs="Times New Roman"/>
        <w:sz w:val="24"/>
        <w:szCs w:val="24"/>
      </w:rPr>
    </w:sdtEndPr>
    <w:sdtContent>
      <w:p w14:paraId="48AF705D" w14:textId="16EDCC3D" w:rsidR="00214B74" w:rsidRPr="00214B74" w:rsidRDefault="00214B74">
        <w:pPr>
          <w:pStyle w:val="a8"/>
          <w:jc w:val="center"/>
          <w:rPr>
            <w:rFonts w:ascii="Times New Roman" w:hAnsi="Times New Roman" w:cs="Times New Roman"/>
            <w:sz w:val="24"/>
            <w:szCs w:val="24"/>
          </w:rPr>
        </w:pPr>
        <w:r w:rsidRPr="00214B74">
          <w:rPr>
            <w:rFonts w:ascii="Times New Roman" w:hAnsi="Times New Roman" w:cs="Times New Roman"/>
            <w:sz w:val="24"/>
            <w:szCs w:val="24"/>
          </w:rPr>
          <w:fldChar w:fldCharType="begin"/>
        </w:r>
        <w:r w:rsidRPr="00214B74">
          <w:rPr>
            <w:rFonts w:ascii="Times New Roman" w:hAnsi="Times New Roman" w:cs="Times New Roman"/>
            <w:sz w:val="24"/>
            <w:szCs w:val="24"/>
          </w:rPr>
          <w:instrText>PAGE   \* MERGEFORMAT</w:instrText>
        </w:r>
        <w:r w:rsidRPr="00214B74">
          <w:rPr>
            <w:rFonts w:ascii="Times New Roman" w:hAnsi="Times New Roman" w:cs="Times New Roman"/>
            <w:sz w:val="24"/>
            <w:szCs w:val="24"/>
          </w:rPr>
          <w:fldChar w:fldCharType="separate"/>
        </w:r>
        <w:r w:rsidRPr="00214B74">
          <w:rPr>
            <w:rFonts w:ascii="Times New Roman" w:hAnsi="Times New Roman" w:cs="Times New Roman"/>
            <w:sz w:val="24"/>
            <w:szCs w:val="24"/>
            <w:lang w:val="uk-UA"/>
          </w:rPr>
          <w:t>2</w:t>
        </w:r>
        <w:r w:rsidRPr="00214B74">
          <w:rPr>
            <w:rFonts w:ascii="Times New Roman" w:hAnsi="Times New Roman" w:cs="Times New Roman"/>
            <w:sz w:val="24"/>
            <w:szCs w:val="24"/>
          </w:rPr>
          <w:fldChar w:fldCharType="end"/>
        </w:r>
      </w:p>
    </w:sdtContent>
  </w:sdt>
  <w:p w14:paraId="5D60C460" w14:textId="77777777" w:rsidR="00214B74" w:rsidRDefault="00214B74">
    <w:pPr>
      <w:pStyle w:val="a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77C7" w14:textId="77777777" w:rsidR="00214B74" w:rsidRDefault="00214B74">
    <w:pPr>
      <w:pStyle w:val="a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6110"/>
    <w:rsid w:val="00120597"/>
    <w:rsid w:val="001646D9"/>
    <w:rsid w:val="00214B74"/>
    <w:rsid w:val="002177E7"/>
    <w:rsid w:val="00232406"/>
    <w:rsid w:val="00252AE6"/>
    <w:rsid w:val="002827DA"/>
    <w:rsid w:val="002859F7"/>
    <w:rsid w:val="004C3EB4"/>
    <w:rsid w:val="004D3305"/>
    <w:rsid w:val="00521A81"/>
    <w:rsid w:val="00556EE7"/>
    <w:rsid w:val="005E2C65"/>
    <w:rsid w:val="006004F5"/>
    <w:rsid w:val="00635290"/>
    <w:rsid w:val="0070551A"/>
    <w:rsid w:val="0076047B"/>
    <w:rsid w:val="007819B6"/>
    <w:rsid w:val="007B6F68"/>
    <w:rsid w:val="0091583A"/>
    <w:rsid w:val="0095705E"/>
    <w:rsid w:val="00986A20"/>
    <w:rsid w:val="009B758C"/>
    <w:rsid w:val="009D1D58"/>
    <w:rsid w:val="00A35163"/>
    <w:rsid w:val="00A413D9"/>
    <w:rsid w:val="00AE37BC"/>
    <w:rsid w:val="00BA47CB"/>
    <w:rsid w:val="00BA4945"/>
    <w:rsid w:val="00BB6110"/>
    <w:rsid w:val="00C0351A"/>
    <w:rsid w:val="00E2356D"/>
    <w:rsid w:val="00E36E16"/>
    <w:rsid w:val="00E71134"/>
    <w:rsid w:val="00F14EE4"/>
    <w:rsid w:val="00F20C50"/>
    <w:rsid w:val="00F50F9D"/>
    <w:rsid w:val="00F55770"/>
    <w:rsid w:val="00F939CC"/>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930BCF"/>
  <w15:docId w15:val="{22B806AD-AFFF-4FB3-951E-04AFE4863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16"/>
        <w:szCs w:val="16"/>
        <w:lang w:val="uk"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outlineLvl w:val="0"/>
    </w:pPr>
    <w:rPr>
      <w:b/>
      <w:bCs/>
      <w:smallCaps/>
      <w:sz w:val="24"/>
      <w:szCs w:val="24"/>
    </w:rPr>
  </w:style>
  <w:style w:type="paragraph" w:styleId="2">
    <w:name w:val="heading 2"/>
    <w:basedOn w:val="a"/>
    <w:next w:val="a"/>
    <w:uiPriority w:val="9"/>
    <w:semiHidden/>
    <w:unhideWhenUsed/>
    <w:qFormat/>
    <w:pPr>
      <w:keepNext/>
      <w:outlineLvl w:val="1"/>
    </w:pPr>
    <w:rPr>
      <w:sz w:val="24"/>
      <w:szCs w:val="24"/>
    </w:rPr>
  </w:style>
  <w:style w:type="paragraph" w:styleId="3">
    <w:name w:val="heading 3"/>
    <w:basedOn w:val="a"/>
    <w:next w:val="a"/>
    <w:uiPriority w:val="9"/>
    <w:semiHidden/>
    <w:unhideWhenUsed/>
    <w:qFormat/>
    <w:pPr>
      <w:keepNext/>
      <w:spacing w:before="60"/>
      <w:outlineLvl w:val="2"/>
    </w:pPr>
    <w:rPr>
      <w:b/>
      <w:bCs/>
      <w:sz w:val="20"/>
      <w:szCs w:val="20"/>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character" w:customStyle="1" w:styleId="10">
    <w:name w:val="Заголовок 1 Знак"/>
    <w:basedOn w:val="a0"/>
    <w:rsid w:val="00D43E0F"/>
    <w:rPr>
      <w:rFonts w:ascii="Arial" w:hAnsi="Arial"/>
      <w:b/>
      <w:caps/>
      <w:kern w:val="28"/>
      <w:sz w:val="24"/>
      <w:lang w:val="en-GB" w:eastAsia="en-GB"/>
    </w:rPr>
  </w:style>
  <w:style w:type="character" w:customStyle="1" w:styleId="20">
    <w:name w:val="Заголовок 2 Знак"/>
    <w:basedOn w:val="a0"/>
    <w:rsid w:val="00D43E0F"/>
    <w:rPr>
      <w:rFonts w:ascii="Arial" w:hAnsi="Arial"/>
      <w:sz w:val="24"/>
      <w:lang w:val="en-GB" w:eastAsia="en-GB"/>
    </w:rPr>
  </w:style>
  <w:style w:type="character" w:customStyle="1" w:styleId="30">
    <w:name w:val="Заголовок 3 Знак"/>
    <w:basedOn w:val="a0"/>
    <w:rsid w:val="00D43E0F"/>
    <w:rPr>
      <w:rFonts w:ascii="Arial" w:hAnsi="Arial"/>
      <w:b/>
      <w:lang w:val="en-GB" w:eastAsia="en-GB"/>
    </w:rPr>
  </w:style>
  <w:style w:type="paragraph" w:customStyle="1" w:styleId="rvps2">
    <w:name w:val="rvps2"/>
    <w:rsid w:val="003A0F1D"/>
    <w:pPr>
      <w:spacing w:before="100" w:beforeAutospacing="1" w:after="100" w:afterAutospacing="1"/>
    </w:pPr>
    <w:rPr>
      <w:rFonts w:ascii="Times New Roman" w:hAnsi="Times New Roman"/>
      <w:sz w:val="24"/>
      <w:szCs w:val="24"/>
      <w:lang w:val="uk-UA"/>
    </w:rPr>
  </w:style>
  <w:style w:type="character" w:customStyle="1" w:styleId="rvts52">
    <w:name w:val="rvts52"/>
    <w:basedOn w:val="a0"/>
    <w:rsid w:val="003A0F1D"/>
  </w:style>
  <w:style w:type="character" w:styleId="a4">
    <w:name w:val="Hyperlink"/>
    <w:basedOn w:val="a0"/>
    <w:uiPriority w:val="99"/>
    <w:unhideWhenUsed/>
    <w:rsid w:val="003A0F1D"/>
    <w:rPr>
      <w:color w:val="0000FF"/>
      <w:u w:val="single"/>
    </w:rPr>
  </w:style>
  <w:style w:type="character" w:customStyle="1" w:styleId="dat">
    <w:name w:val="dat"/>
    <w:basedOn w:val="a0"/>
    <w:rsid w:val="003A0F1D"/>
  </w:style>
  <w:style w:type="character" w:styleId="a5">
    <w:name w:val="Strong"/>
    <w:basedOn w:val="a0"/>
    <w:uiPriority w:val="22"/>
    <w:qFormat/>
    <w:rsid w:val="003A0F1D"/>
    <w:rPr>
      <w:b/>
      <w:bCs/>
    </w:rPr>
  </w:style>
  <w:style w:type="paragraph" w:customStyle="1" w:styleId="rvps14">
    <w:name w:val="rvps14"/>
    <w:rsid w:val="00EC1464"/>
    <w:pPr>
      <w:spacing w:before="100" w:beforeAutospacing="1" w:after="100" w:afterAutospacing="1"/>
    </w:pPr>
    <w:rPr>
      <w:rFonts w:ascii="Times New Roman" w:hAnsi="Times New Roman"/>
      <w:sz w:val="24"/>
      <w:szCs w:val="24"/>
      <w:lang w:val="uk-UA"/>
    </w:rPr>
  </w:style>
  <w:style w:type="paragraph" w:customStyle="1" w:styleId="rvps12">
    <w:name w:val="rvps12"/>
    <w:rsid w:val="00EC1464"/>
    <w:pPr>
      <w:spacing w:before="100" w:beforeAutospacing="1" w:after="100" w:afterAutospacing="1"/>
    </w:pPr>
    <w:rPr>
      <w:rFonts w:ascii="Times New Roman" w:hAnsi="Times New Roman"/>
      <w:sz w:val="24"/>
      <w:szCs w:val="24"/>
      <w:lang w:val="uk-UA"/>
    </w:rPr>
  </w:style>
  <w:style w:type="paragraph" w:customStyle="1" w:styleId="rvps4">
    <w:name w:val="rvps4"/>
    <w:rsid w:val="00DD6987"/>
    <w:pPr>
      <w:spacing w:before="100" w:beforeAutospacing="1" w:after="100" w:afterAutospacing="1"/>
    </w:pPr>
    <w:rPr>
      <w:rFonts w:ascii="Times New Roman" w:hAnsi="Times New Roman"/>
      <w:sz w:val="24"/>
      <w:szCs w:val="24"/>
      <w:lang w:val="uk-UA"/>
    </w:rPr>
  </w:style>
  <w:style w:type="character" w:customStyle="1" w:styleId="rvts44">
    <w:name w:val="rvts44"/>
    <w:basedOn w:val="a0"/>
    <w:rsid w:val="00DD6987"/>
  </w:style>
  <w:style w:type="paragraph" w:customStyle="1" w:styleId="rvps15">
    <w:name w:val="rvps15"/>
    <w:rsid w:val="00DD6987"/>
    <w:pPr>
      <w:spacing w:before="100" w:beforeAutospacing="1" w:after="100" w:afterAutospacing="1"/>
    </w:pPr>
    <w:rPr>
      <w:rFonts w:ascii="Times New Roman" w:hAnsi="Times New Roman"/>
      <w:sz w:val="24"/>
      <w:szCs w:val="24"/>
      <w:lang w:val="uk-UA"/>
    </w:rPr>
  </w:style>
  <w:style w:type="paragraph" w:customStyle="1" w:styleId="rvps6">
    <w:name w:val="rvps6"/>
    <w:rsid w:val="00271972"/>
    <w:pPr>
      <w:spacing w:before="100" w:beforeAutospacing="1" w:after="100" w:afterAutospacing="1"/>
    </w:pPr>
    <w:rPr>
      <w:rFonts w:ascii="Times New Roman" w:hAnsi="Times New Roman"/>
      <w:sz w:val="24"/>
      <w:szCs w:val="24"/>
      <w:lang w:val="uk-UA"/>
    </w:rPr>
  </w:style>
  <w:style w:type="character" w:customStyle="1" w:styleId="rvts23">
    <w:name w:val="rvts23"/>
    <w:basedOn w:val="a0"/>
    <w:rsid w:val="00271972"/>
  </w:style>
  <w:style w:type="character" w:customStyle="1" w:styleId="rvts9">
    <w:name w:val="rvts9"/>
    <w:basedOn w:val="a0"/>
    <w:rsid w:val="008B2523"/>
  </w:style>
  <w:style w:type="paragraph" w:styleId="a6">
    <w:name w:val="Revision"/>
    <w:hidden/>
    <w:uiPriority w:val="99"/>
    <w:semiHidden/>
    <w:rsid w:val="00B32D80"/>
    <w:rPr>
      <w:lang w:val="en-GB" w:eastAsia="en-GB"/>
    </w:rPr>
  </w:style>
  <w:style w:type="character" w:styleId="a7">
    <w:name w:val="Unresolved Mention"/>
    <w:basedOn w:val="a0"/>
    <w:uiPriority w:val="99"/>
    <w:semiHidden/>
    <w:unhideWhenUsed/>
    <w:rsid w:val="00B32D80"/>
    <w:rPr>
      <w:color w:val="605E5C"/>
      <w:shd w:val="clear" w:color="auto" w:fill="E1DFDD"/>
    </w:rPr>
  </w:style>
  <w:style w:type="paragraph" w:styleId="a8">
    <w:name w:val="header"/>
    <w:link w:val="a9"/>
    <w:uiPriority w:val="99"/>
    <w:unhideWhenUsed/>
    <w:rsid w:val="007C743D"/>
    <w:pPr>
      <w:tabs>
        <w:tab w:val="center" w:pos="4819"/>
        <w:tab w:val="right" w:pos="9639"/>
      </w:tabs>
    </w:pPr>
  </w:style>
  <w:style w:type="character" w:customStyle="1" w:styleId="a9">
    <w:name w:val="Верхній колонтитул Знак"/>
    <w:basedOn w:val="a0"/>
    <w:link w:val="a8"/>
    <w:uiPriority w:val="99"/>
    <w:rsid w:val="007C743D"/>
    <w:rPr>
      <w:rFonts w:ascii="Arial" w:hAnsi="Arial"/>
      <w:sz w:val="16"/>
      <w:lang w:val="en-GB" w:eastAsia="en-GB"/>
    </w:rPr>
  </w:style>
  <w:style w:type="paragraph" w:styleId="aa">
    <w:name w:val="footer"/>
    <w:link w:val="ab"/>
    <w:uiPriority w:val="99"/>
    <w:unhideWhenUsed/>
    <w:rsid w:val="007C743D"/>
    <w:pPr>
      <w:tabs>
        <w:tab w:val="center" w:pos="4819"/>
        <w:tab w:val="right" w:pos="9639"/>
      </w:tabs>
    </w:pPr>
  </w:style>
  <w:style w:type="character" w:customStyle="1" w:styleId="ab">
    <w:name w:val="Нижній колонтитул Знак"/>
    <w:basedOn w:val="a0"/>
    <w:link w:val="aa"/>
    <w:uiPriority w:val="99"/>
    <w:rsid w:val="007C743D"/>
    <w:rPr>
      <w:rFonts w:ascii="Arial" w:hAnsi="Arial"/>
      <w:sz w:val="16"/>
      <w:lang w:val="en-GB" w:eastAsia="en-GB"/>
    </w:rPr>
  </w:style>
  <w:style w:type="paragraph" w:styleId="ac">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d">
    <w:basedOn w:val="TableNormal"/>
    <w:tblPr>
      <w:tblStyleRowBandSize w:val="1"/>
      <w:tblStyleColBandSize w:val="1"/>
      <w:tblCellMar>
        <w:top w:w="0" w:type="dxa"/>
        <w:left w:w="0" w:type="dxa"/>
        <w:bottom w:w="0" w:type="dxa"/>
        <w:right w:w="0" w:type="dxa"/>
      </w:tblCellMar>
    </w:tblPr>
  </w:style>
  <w:style w:type="table" w:customStyle="1" w:styleId="ae">
    <w:basedOn w:val="TableNormal"/>
    <w:tblPr>
      <w:tblStyleRowBandSize w:val="1"/>
      <w:tblStyleColBandSize w:val="1"/>
      <w:tblCellMar>
        <w:top w:w="30" w:type="dxa"/>
        <w:left w:w="30" w:type="dxa"/>
        <w:bottom w:w="30" w:type="dxa"/>
        <w:right w:w="30" w:type="dxa"/>
      </w:tblCellMar>
    </w:tblPr>
  </w:style>
  <w:style w:type="paragraph" w:styleId="af">
    <w:name w:val="List Paragraph"/>
    <w:basedOn w:val="a"/>
    <w:uiPriority w:val="34"/>
    <w:qFormat/>
    <w:rsid w:val="00F939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f8wpbQmMGhwMrMJWH9ZL2weIGQ==">CgMxLjAyD2lkLmU1anQ2c2U3MzdxajIPaWQubjU3enVuc21jamw3OAByITE4TE9XZHJqc2xISzNFSEZ6cEFJTy05UzRlZDJvQVpDZg==</go:docsCustomData>
</go:gDocsCustomXmlDataStorage>
</file>

<file path=customXml/itemProps1.xml><?xml version="1.0" encoding="utf-8"?>
<ds:datastoreItem xmlns:ds="http://schemas.openxmlformats.org/officeDocument/2006/customXml" ds:itemID="{99465C6C-B4E8-4A3F-8990-1F71DDAF49D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3849</Words>
  <Characters>2194</Characters>
  <Application>Microsoft Office Word</Application>
  <DocSecurity>0</DocSecurity>
  <Lines>18</Lines>
  <Paragraphs>12</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6031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Lyubov Melnyk</cp:lastModifiedBy>
  <cp:revision>13</cp:revision>
  <cp:lastPrinted>2026-04-17T07:12:00Z</cp:lastPrinted>
  <dcterms:created xsi:type="dcterms:W3CDTF">2026-03-30T07:16:00Z</dcterms:created>
  <dcterms:modified xsi:type="dcterms:W3CDTF">2026-04-20T10:35:00Z</dcterms:modified>
</cp:coreProperties>
</file>