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30" w:rsidRPr="00681B30" w:rsidRDefault="00681B30" w:rsidP="00681B30">
      <w:pPr>
        <w:jc w:val="right"/>
      </w:pPr>
      <w:r w:rsidRPr="00681B30">
        <w:t>Додаток 1</w:t>
      </w:r>
    </w:p>
    <w:p w:rsidR="00681B30" w:rsidRPr="00681B30" w:rsidRDefault="00681B30" w:rsidP="00681B30">
      <w:pPr>
        <w:rPr>
          <w:b/>
          <w:bCs/>
        </w:rPr>
      </w:pPr>
    </w:p>
    <w:p w:rsidR="00681B30" w:rsidRPr="00681B30" w:rsidRDefault="00681B30" w:rsidP="00681B30">
      <w:pPr>
        <w:jc w:val="center"/>
        <w:rPr>
          <w:lang w:val="ru-UA"/>
        </w:rPr>
      </w:pPr>
      <w:r w:rsidRPr="00681B30">
        <w:rPr>
          <w:b/>
          <w:bCs/>
          <w:lang w:val="ru-UA"/>
        </w:rPr>
        <w:t>ФОРМА</w:t>
      </w:r>
      <w:r w:rsidRPr="00681B30">
        <w:rPr>
          <w:lang w:val="ru-UA"/>
        </w:rPr>
        <w:br/>
      </w:r>
      <w:r w:rsidRPr="00681B30">
        <w:rPr>
          <w:b/>
          <w:bCs/>
          <w:lang w:val="ru-UA"/>
        </w:rPr>
        <w:t>переліку питань для проведення заходів державного нагляду (контролю)</w:t>
      </w:r>
    </w:p>
    <w:p w:rsidR="00681B30" w:rsidRPr="00681B30" w:rsidRDefault="00681B30" w:rsidP="005115FA">
      <w:pPr>
        <w:jc w:val="center"/>
        <w:rPr>
          <w:lang w:val="ru-UA"/>
        </w:rPr>
      </w:pPr>
      <w:bookmarkStart w:id="0" w:name="n82"/>
      <w:bookmarkEnd w:id="0"/>
      <w:r w:rsidRPr="00681B30">
        <w:rPr>
          <w:lang w:val="ru-UA"/>
        </w:rPr>
        <w:t xml:space="preserve">Сфера державного нагляду (контролю) </w:t>
      </w:r>
      <w:r w:rsidR="005115FA" w:rsidRPr="005115FA">
        <w:t>заходи щодо попередження та зменшення вживання тютюнових виробів і їх шкідливого впливу на здоров’я населення</w:t>
      </w:r>
    </w:p>
    <w:tbl>
      <w:tblPr>
        <w:tblW w:w="54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705"/>
        <w:gridCol w:w="2842"/>
        <w:gridCol w:w="1634"/>
        <w:gridCol w:w="1691"/>
        <w:gridCol w:w="1071"/>
        <w:gridCol w:w="1233"/>
        <w:gridCol w:w="1671"/>
        <w:gridCol w:w="1238"/>
        <w:gridCol w:w="1241"/>
        <w:gridCol w:w="1504"/>
        <w:gridCol w:w="924"/>
      </w:tblGrid>
      <w:tr w:rsidR="00A21293" w:rsidRPr="00681B30" w:rsidTr="008F345A">
        <w:tc>
          <w:tcPr>
            <w:tcW w:w="704" w:type="dxa"/>
            <w:vMerge w:val="restart"/>
            <w:shd w:val="clear" w:color="auto" w:fill="auto"/>
            <w:hideMark/>
          </w:tcPr>
          <w:p w:rsidR="00681B30" w:rsidRPr="00681B30" w:rsidRDefault="00681B30" w:rsidP="00681B30">
            <w:pPr>
              <w:rPr>
                <w:sz w:val="20"/>
                <w:lang w:val="ru-UA"/>
              </w:rPr>
            </w:pPr>
            <w:bookmarkStart w:id="1" w:name="n83"/>
            <w:bookmarkEnd w:id="1"/>
            <w:r w:rsidRPr="00681B30">
              <w:rPr>
                <w:sz w:val="20"/>
                <w:lang w:val="ru-UA"/>
              </w:rPr>
              <w:t>Поряд</w:t>
            </w:r>
            <w:r w:rsidR="0054455F">
              <w:rPr>
                <w:sz w:val="20"/>
              </w:rPr>
              <w:t>-</w:t>
            </w:r>
            <w:r w:rsidRPr="00681B30">
              <w:rPr>
                <w:sz w:val="20"/>
                <w:lang w:val="ru-UA"/>
              </w:rPr>
              <w:t>ковий номер</w:t>
            </w:r>
          </w:p>
        </w:tc>
        <w:tc>
          <w:tcPr>
            <w:tcW w:w="2842" w:type="dxa"/>
            <w:vMerge w:val="restart"/>
            <w:shd w:val="clear" w:color="auto" w:fill="auto"/>
            <w:hideMark/>
          </w:tcPr>
          <w:p w:rsidR="00681B30" w:rsidRPr="00681B30" w:rsidRDefault="00681B30" w:rsidP="008F345A">
            <w:pPr>
              <w:ind w:left="95" w:right="92"/>
              <w:rPr>
                <w:sz w:val="20"/>
                <w:lang w:val="ru-UA"/>
              </w:rPr>
            </w:pPr>
            <w:r w:rsidRPr="00681B30">
              <w:rPr>
                <w:sz w:val="20"/>
                <w:lang w:val="ru-UA"/>
              </w:rPr>
              <w:t>Вимога законодавства, якої повинні дотримуватися суб’єкти господарювання у відповідній сфері державного нагляду (контролю)</w:t>
            </w:r>
          </w:p>
        </w:tc>
        <w:tc>
          <w:tcPr>
            <w:tcW w:w="1634" w:type="dxa"/>
            <w:vMerge w:val="restart"/>
            <w:shd w:val="clear" w:color="auto" w:fill="auto"/>
            <w:hideMark/>
          </w:tcPr>
          <w:p w:rsidR="00681B30" w:rsidRPr="00681B30" w:rsidRDefault="00681B30" w:rsidP="00A21293">
            <w:pPr>
              <w:ind w:left="83" w:right="173"/>
              <w:rPr>
                <w:sz w:val="20"/>
                <w:lang w:val="ru-UA"/>
              </w:rPr>
            </w:pPr>
            <w:r w:rsidRPr="00681B30">
              <w:rPr>
                <w:sz w:val="20"/>
                <w:lang w:val="ru-UA"/>
              </w:rPr>
              <w:t>Посилання на законодавство, в якому міститься вимога (скорочене найменування, номер акта (документа) та номер статті, її частини, пункту, абзацу)</w:t>
            </w:r>
          </w:p>
        </w:tc>
        <w:tc>
          <w:tcPr>
            <w:tcW w:w="1691" w:type="dxa"/>
            <w:vMerge w:val="restart"/>
            <w:shd w:val="clear" w:color="auto" w:fill="auto"/>
            <w:hideMark/>
          </w:tcPr>
          <w:p w:rsidR="00681B30" w:rsidRPr="00681B30" w:rsidRDefault="00681B30" w:rsidP="00A21293">
            <w:pPr>
              <w:ind w:left="74" w:right="175"/>
              <w:rPr>
                <w:sz w:val="20"/>
                <w:lang w:val="ru-UA"/>
              </w:rPr>
            </w:pPr>
            <w:r w:rsidRPr="00681B30">
              <w:rPr>
                <w:sz w:val="20"/>
                <w:lang w:val="ru-UA"/>
              </w:rPr>
              <w:t>Назва об’єкта, на який спрямована вимога законодавства</w:t>
            </w:r>
          </w:p>
        </w:tc>
        <w:tc>
          <w:tcPr>
            <w:tcW w:w="1071" w:type="dxa"/>
            <w:vMerge w:val="restart"/>
            <w:shd w:val="clear" w:color="auto" w:fill="auto"/>
            <w:hideMark/>
          </w:tcPr>
          <w:p w:rsidR="00681B30" w:rsidRPr="00681B30" w:rsidRDefault="00681B30" w:rsidP="008F345A">
            <w:pPr>
              <w:tabs>
                <w:tab w:val="left" w:pos="739"/>
              </w:tabs>
              <w:ind w:left="30" w:right="145"/>
              <w:rPr>
                <w:sz w:val="20"/>
                <w:lang w:val="ru-UA"/>
              </w:rPr>
            </w:pPr>
            <w:r w:rsidRPr="00681B30">
              <w:rPr>
                <w:sz w:val="20"/>
                <w:lang w:val="ru-UA"/>
              </w:rPr>
              <w:t>Діяльність, на яку спрямована вимога законодавства (із зазначенням коду згідно з КВЕД)</w:t>
            </w:r>
          </w:p>
        </w:tc>
        <w:tc>
          <w:tcPr>
            <w:tcW w:w="1233" w:type="dxa"/>
            <w:vMerge w:val="restart"/>
            <w:shd w:val="clear" w:color="auto" w:fill="auto"/>
            <w:hideMark/>
          </w:tcPr>
          <w:p w:rsidR="00681B30" w:rsidRPr="00681B30" w:rsidRDefault="00681B30" w:rsidP="00681B30">
            <w:pPr>
              <w:ind w:right="136"/>
              <w:rPr>
                <w:sz w:val="20"/>
                <w:lang w:val="ru-UA"/>
              </w:rPr>
            </w:pPr>
            <w:r w:rsidRPr="00681B30">
              <w:rPr>
                <w:sz w:val="20"/>
                <w:lang w:val="ru-UA"/>
              </w:rPr>
              <w:t>Код цілі державного нагляду (контролю)</w:t>
            </w:r>
          </w:p>
        </w:tc>
        <w:tc>
          <w:tcPr>
            <w:tcW w:w="2909" w:type="dxa"/>
            <w:gridSpan w:val="2"/>
            <w:shd w:val="clear" w:color="auto" w:fill="auto"/>
            <w:hideMark/>
          </w:tcPr>
          <w:p w:rsidR="00681B30" w:rsidRPr="00681B30" w:rsidRDefault="00681B30" w:rsidP="00962F25">
            <w:pPr>
              <w:ind w:right="165"/>
              <w:rPr>
                <w:sz w:val="20"/>
                <w:lang w:val="ru-UA"/>
              </w:rPr>
            </w:pPr>
            <w:r w:rsidRPr="00681B30">
              <w:rPr>
                <w:sz w:val="20"/>
                <w:lang w:val="ru-UA"/>
              </w:rPr>
              <w:t>Ризик настання негативних наслідків від провадження господарської діяльності</w:t>
            </w:r>
          </w:p>
        </w:tc>
        <w:tc>
          <w:tcPr>
            <w:tcW w:w="1241" w:type="dxa"/>
            <w:vMerge w:val="restart"/>
            <w:shd w:val="clear" w:color="auto" w:fill="auto"/>
            <w:hideMark/>
          </w:tcPr>
          <w:p w:rsidR="00681B30" w:rsidRPr="00681B30" w:rsidRDefault="00681B30" w:rsidP="00962F25">
            <w:pPr>
              <w:rPr>
                <w:sz w:val="20"/>
                <w:lang w:val="ru-UA"/>
              </w:rPr>
            </w:pPr>
            <w:r w:rsidRPr="00681B30">
              <w:rPr>
                <w:sz w:val="20"/>
                <w:lang w:val="ru-UA"/>
              </w:rPr>
              <w:t>Ймовірність настання негативних наслідків (від 1 до 4 балів, де 4 найвищий рівень ймовірності)</w:t>
            </w:r>
          </w:p>
        </w:tc>
        <w:tc>
          <w:tcPr>
            <w:tcW w:w="1504" w:type="dxa"/>
            <w:vMerge w:val="restart"/>
            <w:shd w:val="clear" w:color="auto" w:fill="auto"/>
            <w:hideMark/>
          </w:tcPr>
          <w:p w:rsidR="00681B30" w:rsidRPr="00681B30" w:rsidRDefault="00681B30" w:rsidP="00962F25">
            <w:pPr>
              <w:ind w:right="137"/>
              <w:rPr>
                <w:sz w:val="20"/>
                <w:lang w:val="ru-UA"/>
              </w:rPr>
            </w:pPr>
            <w:r w:rsidRPr="00681B30">
              <w:rPr>
                <w:sz w:val="20"/>
                <w:lang w:val="ru-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924" w:type="dxa"/>
            <w:vMerge w:val="restart"/>
            <w:shd w:val="clear" w:color="auto" w:fill="auto"/>
            <w:hideMark/>
          </w:tcPr>
          <w:p w:rsidR="00681B30" w:rsidRPr="00681B30" w:rsidRDefault="00681B30" w:rsidP="00962F25">
            <w:pPr>
              <w:ind w:left="93" w:hanging="92"/>
              <w:rPr>
                <w:sz w:val="20"/>
                <w:lang w:val="ru-UA"/>
              </w:rPr>
            </w:pPr>
            <w:r w:rsidRPr="00681B30">
              <w:rPr>
                <w:sz w:val="20"/>
                <w:lang w:val="ru-UA"/>
              </w:rPr>
              <w:t>Примітки</w:t>
            </w:r>
          </w:p>
        </w:tc>
      </w:tr>
      <w:tr w:rsidR="00A21293" w:rsidRPr="00681B30" w:rsidTr="008F345A">
        <w:tc>
          <w:tcPr>
            <w:tcW w:w="704" w:type="dxa"/>
            <w:vMerge/>
            <w:shd w:val="clear" w:color="auto" w:fill="auto"/>
            <w:hideMark/>
          </w:tcPr>
          <w:p w:rsidR="00681B30" w:rsidRPr="00681B30" w:rsidRDefault="00681B30" w:rsidP="00681B30">
            <w:pPr>
              <w:rPr>
                <w:lang w:val="ru-UA"/>
              </w:rPr>
            </w:pPr>
          </w:p>
        </w:tc>
        <w:tc>
          <w:tcPr>
            <w:tcW w:w="2842" w:type="dxa"/>
            <w:vMerge/>
            <w:shd w:val="clear" w:color="auto" w:fill="auto"/>
            <w:hideMark/>
          </w:tcPr>
          <w:p w:rsidR="00681B30" w:rsidRPr="00681B30" w:rsidRDefault="00681B30" w:rsidP="008F345A">
            <w:pPr>
              <w:ind w:left="95" w:right="92"/>
              <w:rPr>
                <w:lang w:val="ru-UA"/>
              </w:rPr>
            </w:pPr>
          </w:p>
        </w:tc>
        <w:tc>
          <w:tcPr>
            <w:tcW w:w="1634" w:type="dxa"/>
            <w:vMerge/>
            <w:shd w:val="clear" w:color="auto" w:fill="auto"/>
            <w:hideMark/>
          </w:tcPr>
          <w:p w:rsidR="00681B30" w:rsidRPr="00681B30" w:rsidRDefault="00681B30" w:rsidP="00A21293">
            <w:pPr>
              <w:ind w:left="83" w:right="173"/>
              <w:rPr>
                <w:lang w:val="ru-UA"/>
              </w:rPr>
            </w:pPr>
          </w:p>
        </w:tc>
        <w:tc>
          <w:tcPr>
            <w:tcW w:w="1691" w:type="dxa"/>
            <w:vMerge/>
            <w:shd w:val="clear" w:color="auto" w:fill="auto"/>
            <w:hideMark/>
          </w:tcPr>
          <w:p w:rsidR="00681B30" w:rsidRPr="00681B30" w:rsidRDefault="00681B30" w:rsidP="00A21293">
            <w:pPr>
              <w:ind w:left="74" w:right="175"/>
              <w:rPr>
                <w:lang w:val="ru-UA"/>
              </w:rPr>
            </w:pPr>
          </w:p>
        </w:tc>
        <w:tc>
          <w:tcPr>
            <w:tcW w:w="1071" w:type="dxa"/>
            <w:vMerge/>
            <w:shd w:val="clear" w:color="auto" w:fill="auto"/>
            <w:hideMark/>
          </w:tcPr>
          <w:p w:rsidR="00681B30" w:rsidRPr="00681B30" w:rsidRDefault="00681B30" w:rsidP="008F345A">
            <w:pPr>
              <w:tabs>
                <w:tab w:val="left" w:pos="739"/>
              </w:tabs>
              <w:ind w:left="30"/>
              <w:rPr>
                <w:lang w:val="ru-UA"/>
              </w:rPr>
            </w:pPr>
          </w:p>
        </w:tc>
        <w:tc>
          <w:tcPr>
            <w:tcW w:w="1233" w:type="dxa"/>
            <w:vMerge/>
            <w:shd w:val="clear" w:color="auto" w:fill="auto"/>
            <w:hideMark/>
          </w:tcPr>
          <w:p w:rsidR="00681B30" w:rsidRPr="00681B30" w:rsidRDefault="00681B30" w:rsidP="00681B30">
            <w:pPr>
              <w:rPr>
                <w:lang w:val="ru-UA"/>
              </w:rPr>
            </w:pPr>
          </w:p>
        </w:tc>
        <w:tc>
          <w:tcPr>
            <w:tcW w:w="1671" w:type="dxa"/>
            <w:shd w:val="clear" w:color="auto" w:fill="auto"/>
            <w:hideMark/>
          </w:tcPr>
          <w:p w:rsidR="00681B30" w:rsidRPr="00681B30" w:rsidRDefault="00681B30" w:rsidP="00962F25">
            <w:pPr>
              <w:ind w:right="165"/>
              <w:rPr>
                <w:sz w:val="20"/>
                <w:szCs w:val="20"/>
                <w:lang w:val="ru-UA"/>
              </w:rPr>
            </w:pPr>
            <w:r w:rsidRPr="00681B30">
              <w:rPr>
                <w:sz w:val="20"/>
                <w:szCs w:val="20"/>
                <w:lang w:val="ru-UA"/>
              </w:rPr>
              <w:t>небезпечна подія, що призводить до настання негативних наслідків</w:t>
            </w:r>
          </w:p>
        </w:tc>
        <w:tc>
          <w:tcPr>
            <w:tcW w:w="1238" w:type="dxa"/>
            <w:shd w:val="clear" w:color="auto" w:fill="auto"/>
            <w:hideMark/>
          </w:tcPr>
          <w:p w:rsidR="00681B30" w:rsidRPr="00681B30" w:rsidRDefault="00681B30" w:rsidP="00962F25">
            <w:pPr>
              <w:ind w:right="165"/>
              <w:rPr>
                <w:sz w:val="20"/>
                <w:szCs w:val="20"/>
                <w:lang w:val="ru-UA"/>
              </w:rPr>
            </w:pPr>
            <w:r w:rsidRPr="00681B30">
              <w:rPr>
                <w:sz w:val="20"/>
                <w:szCs w:val="20"/>
                <w:lang w:val="ru-UA"/>
              </w:rPr>
              <w:t>негативний наслідок</w:t>
            </w:r>
          </w:p>
        </w:tc>
        <w:tc>
          <w:tcPr>
            <w:tcW w:w="1241" w:type="dxa"/>
            <w:vMerge/>
            <w:shd w:val="clear" w:color="auto" w:fill="auto"/>
            <w:vAlign w:val="center"/>
            <w:hideMark/>
          </w:tcPr>
          <w:p w:rsidR="00681B30" w:rsidRPr="00681B30" w:rsidRDefault="00681B30" w:rsidP="00962F25">
            <w:pPr>
              <w:rPr>
                <w:lang w:val="ru-UA"/>
              </w:rPr>
            </w:pPr>
          </w:p>
        </w:tc>
        <w:tc>
          <w:tcPr>
            <w:tcW w:w="1504" w:type="dxa"/>
            <w:vMerge/>
            <w:shd w:val="clear" w:color="auto" w:fill="auto"/>
            <w:vAlign w:val="center"/>
            <w:hideMark/>
          </w:tcPr>
          <w:p w:rsidR="00681B30" w:rsidRPr="00681B30" w:rsidRDefault="00681B30" w:rsidP="00962F25">
            <w:pPr>
              <w:ind w:right="137"/>
              <w:rPr>
                <w:lang w:val="ru-UA"/>
              </w:rPr>
            </w:pPr>
          </w:p>
        </w:tc>
        <w:tc>
          <w:tcPr>
            <w:tcW w:w="924" w:type="dxa"/>
            <w:vMerge/>
            <w:shd w:val="clear" w:color="auto" w:fill="auto"/>
            <w:vAlign w:val="center"/>
            <w:hideMark/>
          </w:tcPr>
          <w:p w:rsidR="00681B30" w:rsidRPr="00681B30" w:rsidRDefault="00681B30" w:rsidP="00962F25">
            <w:pPr>
              <w:ind w:left="93" w:hanging="235"/>
              <w:rPr>
                <w:lang w:val="ru-UA"/>
              </w:rPr>
            </w:pPr>
          </w:p>
        </w:tc>
      </w:tr>
      <w:tr w:rsidR="008731A7" w:rsidRPr="00681B30" w:rsidTr="008F345A">
        <w:tc>
          <w:tcPr>
            <w:tcW w:w="704" w:type="dxa"/>
          </w:tcPr>
          <w:p w:rsidR="008731A7" w:rsidRPr="008731A7" w:rsidRDefault="008731A7" w:rsidP="008731A7">
            <w:pPr>
              <w:jc w:val="center"/>
              <w:rPr>
                <w:rFonts w:cs="Times New Roman"/>
                <w:sz w:val="20"/>
                <w:szCs w:val="20"/>
                <w:highlight w:val="darkGreen"/>
              </w:rPr>
            </w:pPr>
            <w:r w:rsidRPr="008731A7">
              <w:rPr>
                <w:rFonts w:cs="Times New Roman"/>
                <w:sz w:val="20"/>
                <w:szCs w:val="20"/>
              </w:rPr>
              <w:t>1</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 xml:space="preserve">Маркування тютюнових виробів передбачає наявність такої </w:t>
            </w:r>
          </w:p>
          <w:p w:rsidR="008731A7" w:rsidRPr="008731A7" w:rsidRDefault="008731A7" w:rsidP="008F345A">
            <w:pPr>
              <w:ind w:right="92"/>
              <w:rPr>
                <w:rFonts w:cs="Times New Roman"/>
                <w:sz w:val="20"/>
                <w:szCs w:val="20"/>
              </w:rPr>
            </w:pPr>
            <w:r w:rsidRPr="008731A7">
              <w:rPr>
                <w:rFonts w:cs="Times New Roman"/>
                <w:sz w:val="20"/>
                <w:szCs w:val="20"/>
              </w:rPr>
              <w:t>інформації</w:t>
            </w:r>
          </w:p>
          <w:p w:rsidR="008731A7" w:rsidRPr="008731A7" w:rsidRDefault="008731A7" w:rsidP="008F345A">
            <w:pPr>
              <w:ind w:right="92"/>
              <w:rPr>
                <w:rFonts w:cs="Times New Roman"/>
                <w:sz w:val="20"/>
                <w:szCs w:val="20"/>
              </w:rPr>
            </w:pPr>
            <w:r w:rsidRPr="008731A7">
              <w:rPr>
                <w:rFonts w:cs="Times New Roman"/>
                <w:sz w:val="20"/>
                <w:szCs w:val="20"/>
              </w:rPr>
              <w:t xml:space="preserve">на кожній пачці, коробці або сувенірній коробці відомості про вміст смол та нікотину, що входять до складу </w:t>
            </w:r>
          </w:p>
          <w:p w:rsidR="008731A7" w:rsidRPr="008731A7" w:rsidRDefault="008731A7" w:rsidP="008F345A">
            <w:pPr>
              <w:ind w:right="92"/>
              <w:rPr>
                <w:rFonts w:cs="Times New Roman"/>
                <w:sz w:val="20"/>
                <w:szCs w:val="20"/>
              </w:rPr>
            </w:pPr>
            <w:r w:rsidRPr="008731A7">
              <w:rPr>
                <w:rFonts w:cs="Times New Roman"/>
                <w:sz w:val="20"/>
                <w:szCs w:val="20"/>
              </w:rPr>
              <w:t xml:space="preserve">тютюнових виробів і виділяються з тютюновим димом під час їх </w:t>
            </w:r>
          </w:p>
          <w:p w:rsidR="008731A7" w:rsidRPr="008731A7" w:rsidRDefault="008731A7" w:rsidP="008F345A">
            <w:pPr>
              <w:ind w:right="92"/>
              <w:rPr>
                <w:rFonts w:cs="Times New Roman"/>
                <w:sz w:val="20"/>
                <w:szCs w:val="20"/>
              </w:rPr>
            </w:pPr>
            <w:r w:rsidRPr="008731A7">
              <w:rPr>
                <w:rFonts w:cs="Times New Roman"/>
                <w:sz w:val="20"/>
                <w:szCs w:val="20"/>
              </w:rPr>
              <w:t xml:space="preserve">куріння, які нанесені на зовнішню поверхню однієї меншої сторони </w:t>
            </w:r>
          </w:p>
          <w:p w:rsidR="008731A7" w:rsidRPr="008731A7" w:rsidRDefault="008731A7" w:rsidP="008F345A">
            <w:pPr>
              <w:ind w:right="92"/>
              <w:rPr>
                <w:rFonts w:cs="Times New Roman"/>
                <w:sz w:val="20"/>
                <w:szCs w:val="20"/>
              </w:rPr>
            </w:pPr>
            <w:r w:rsidRPr="008731A7">
              <w:rPr>
                <w:rFonts w:cs="Times New Roman"/>
                <w:sz w:val="20"/>
                <w:szCs w:val="20"/>
              </w:rPr>
              <w:t xml:space="preserve">пачки, коробки або сувенірної коробки; основне медичне попередження </w:t>
            </w:r>
          </w:p>
          <w:p w:rsidR="008731A7" w:rsidRPr="008731A7" w:rsidRDefault="008731A7" w:rsidP="008F345A">
            <w:pPr>
              <w:ind w:right="92"/>
              <w:rPr>
                <w:rFonts w:cs="Times New Roman"/>
                <w:sz w:val="20"/>
                <w:szCs w:val="20"/>
              </w:rPr>
            </w:pPr>
            <w:r w:rsidRPr="008731A7">
              <w:rPr>
                <w:rFonts w:cs="Times New Roman"/>
                <w:sz w:val="20"/>
                <w:szCs w:val="20"/>
              </w:rPr>
              <w:t>споживачів тютюнових виробів та додаткове медичне попередження.</w:t>
            </w:r>
          </w:p>
        </w:tc>
        <w:tc>
          <w:tcPr>
            <w:tcW w:w="1634" w:type="dxa"/>
            <w:shd w:val="clear" w:color="auto" w:fill="auto"/>
          </w:tcPr>
          <w:p w:rsidR="008731A7" w:rsidRPr="00F33433" w:rsidRDefault="008731A7" w:rsidP="008731A7">
            <w:pPr>
              <w:ind w:left="83" w:right="173" w:firstLine="30"/>
              <w:rPr>
                <w:rFonts w:eastAsia="Times New Roman"/>
                <w:sz w:val="20"/>
                <w:szCs w:val="20"/>
                <w:lang w:eastAsia="ru-RU"/>
              </w:rPr>
            </w:pPr>
            <w:r w:rsidRPr="00F33433">
              <w:rPr>
                <w:rFonts w:eastAsia="Times New Roman"/>
                <w:sz w:val="20"/>
                <w:szCs w:val="20"/>
                <w:lang w:eastAsia="ru-RU"/>
              </w:rPr>
              <w:t xml:space="preserve">Абзац третій пункту 13 наказу </w:t>
            </w:r>
          </w:p>
          <w:p w:rsidR="008731A7" w:rsidRPr="00F33433" w:rsidRDefault="008731A7" w:rsidP="008731A7">
            <w:pPr>
              <w:ind w:left="83" w:right="173"/>
              <w:rPr>
                <w:rFonts w:eastAsia="SimSun"/>
                <w:sz w:val="20"/>
                <w:szCs w:val="20"/>
                <w:lang w:eastAsia="zh-CN"/>
              </w:rPr>
            </w:pPr>
            <w:r w:rsidRPr="00F33433">
              <w:rPr>
                <w:rFonts w:eastAsia="Times New Roman"/>
                <w:sz w:val="20"/>
                <w:szCs w:val="20"/>
                <w:lang w:eastAsia="ru-RU"/>
              </w:rPr>
              <w:t>№ 218</w:t>
            </w:r>
          </w:p>
        </w:tc>
        <w:tc>
          <w:tcPr>
            <w:tcW w:w="1691" w:type="dxa"/>
            <w:shd w:val="clear" w:color="auto" w:fill="auto"/>
          </w:tcPr>
          <w:p w:rsidR="008731A7" w:rsidRPr="00F33433" w:rsidRDefault="008731A7" w:rsidP="008731A7">
            <w:pPr>
              <w:ind w:left="74" w:right="175"/>
              <w:rPr>
                <w:rFonts w:eastAsia="SimSun"/>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47.11,</w:t>
            </w:r>
          </w:p>
          <w:p w:rsidR="008731A7" w:rsidRPr="00F33433" w:rsidRDefault="008731A7" w:rsidP="008F345A">
            <w:pPr>
              <w:tabs>
                <w:tab w:val="left" w:pos="739"/>
              </w:tabs>
              <w:ind w:left="30"/>
              <w:jc w:val="center"/>
              <w:rPr>
                <w:rFonts w:eastAsia="SimSun"/>
                <w:b/>
                <w:sz w:val="20"/>
                <w:szCs w:val="20"/>
                <w:lang w:eastAsia="zh-CN"/>
              </w:rPr>
            </w:pPr>
            <w:r w:rsidRPr="00F33433">
              <w:rPr>
                <w:rFonts w:eastAsia="SimSun"/>
                <w:sz w:val="20"/>
                <w:szCs w:val="20"/>
                <w:lang w:eastAsia="zh-CN"/>
              </w:rPr>
              <w:t>47.26</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без медичних попереджень (основних і додаткових з кольоровими малюнками та піктограмами) та напису про вміст нікотину та смоли в диму однієї сигарети</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Суб’єкт господарювання здійснює роздрібну реалізацію тютюнових виробів без медичних попереджень (основних і додаткових з кольоровими малюнками та піктограмами) та напису про вміст нікотину та смоли в диму однієї сигарети</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lastRenderedPageBreak/>
              <w:t>2</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 xml:space="preserve">Максимально допустимі рівні вмісту смол та нікотину в димі </w:t>
            </w:r>
          </w:p>
          <w:p w:rsidR="008731A7" w:rsidRPr="008731A7" w:rsidRDefault="008731A7" w:rsidP="008F345A">
            <w:pPr>
              <w:ind w:right="92"/>
              <w:rPr>
                <w:rFonts w:cs="Times New Roman"/>
                <w:sz w:val="20"/>
                <w:szCs w:val="20"/>
              </w:rPr>
            </w:pPr>
            <w:r w:rsidRPr="008731A7">
              <w:rPr>
                <w:rFonts w:cs="Times New Roman"/>
                <w:sz w:val="20"/>
                <w:szCs w:val="20"/>
              </w:rPr>
              <w:t xml:space="preserve">сигарет, які реалізуються  в Україні, встановлюються Законом </w:t>
            </w:r>
          </w:p>
          <w:p w:rsidR="008731A7" w:rsidRPr="008731A7" w:rsidRDefault="008731A7" w:rsidP="008F345A">
            <w:pPr>
              <w:ind w:right="92"/>
              <w:rPr>
                <w:rFonts w:cs="Times New Roman"/>
                <w:sz w:val="20"/>
                <w:szCs w:val="20"/>
              </w:rPr>
            </w:pPr>
            <w:r w:rsidRPr="008731A7">
              <w:rPr>
                <w:rFonts w:cs="Times New Roman"/>
                <w:sz w:val="20"/>
                <w:szCs w:val="20"/>
              </w:rPr>
              <w:t xml:space="preserve">України "Про державне регулювання виробництва і обігу спирту </w:t>
            </w:r>
          </w:p>
          <w:p w:rsidR="008731A7" w:rsidRPr="008731A7" w:rsidRDefault="008731A7" w:rsidP="008F345A">
            <w:pPr>
              <w:ind w:right="92"/>
              <w:rPr>
                <w:rFonts w:cs="Times New Roman"/>
                <w:sz w:val="20"/>
                <w:szCs w:val="20"/>
              </w:rPr>
            </w:pPr>
            <w:r w:rsidRPr="008731A7">
              <w:rPr>
                <w:rFonts w:cs="Times New Roman"/>
                <w:sz w:val="20"/>
                <w:szCs w:val="20"/>
              </w:rPr>
              <w:t xml:space="preserve">етилового, коньячного і плодового, алкогольних напоїв та тютюнових </w:t>
            </w:r>
          </w:p>
          <w:p w:rsidR="008731A7" w:rsidRPr="008731A7" w:rsidRDefault="008731A7" w:rsidP="008F345A">
            <w:pPr>
              <w:ind w:right="92"/>
              <w:rPr>
                <w:rFonts w:cs="Times New Roman"/>
                <w:b/>
                <w:sz w:val="20"/>
                <w:szCs w:val="20"/>
              </w:rPr>
            </w:pPr>
            <w:r w:rsidRPr="008731A7">
              <w:rPr>
                <w:rFonts w:cs="Times New Roman"/>
                <w:sz w:val="20"/>
                <w:szCs w:val="20"/>
              </w:rPr>
              <w:t>виробів" ( 481/95-ВР )</w:t>
            </w:r>
            <w:r w:rsidRPr="008731A7">
              <w:rPr>
                <w:rFonts w:cs="Times New Roman"/>
                <w:b/>
                <w:sz w:val="20"/>
                <w:szCs w:val="20"/>
              </w:rPr>
              <w:t xml:space="preserve"> </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Абзац тринадцятий пункту 13 наказу № 218</w:t>
            </w:r>
          </w:p>
        </w:tc>
        <w:tc>
          <w:tcPr>
            <w:tcW w:w="1691" w:type="dxa"/>
            <w:shd w:val="clear" w:color="auto" w:fill="auto"/>
          </w:tcPr>
          <w:p w:rsidR="008731A7" w:rsidRPr="00F33433" w:rsidRDefault="008731A7" w:rsidP="008731A7">
            <w:pPr>
              <w:ind w:left="74" w:right="175"/>
              <w:rPr>
                <w:rFonts w:eastAsia="SimSun"/>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47.11,</w:t>
            </w:r>
          </w:p>
          <w:p w:rsidR="008731A7" w:rsidRPr="00F33433" w:rsidRDefault="008731A7" w:rsidP="008F345A">
            <w:pPr>
              <w:tabs>
                <w:tab w:val="left" w:pos="739"/>
              </w:tabs>
              <w:ind w:left="30"/>
              <w:jc w:val="center"/>
              <w:rPr>
                <w:rFonts w:eastAsia="SimSun"/>
                <w:b/>
                <w:sz w:val="20"/>
                <w:szCs w:val="20"/>
                <w:lang w:eastAsia="zh-CN"/>
              </w:rPr>
            </w:pPr>
            <w:r w:rsidRPr="00F33433">
              <w:rPr>
                <w:rFonts w:eastAsia="SimSun"/>
                <w:sz w:val="20"/>
                <w:szCs w:val="20"/>
                <w:lang w:eastAsia="zh-CN"/>
              </w:rPr>
              <w:t>47.26</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у яких вміст шкідливих речовин перевищує встановлені законодавством допустимі рівні</w:t>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4</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Суб’єкт господарювання здійснює роздрібну реалізацію тютюнових виробів, у яких вміст шкідливих речовин перевищує встановлені законодавством допустимі рівні</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t>3</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 xml:space="preserve">На  етикетках  тютюнових  виробів  може бути подано додаткову </w:t>
            </w:r>
          </w:p>
          <w:p w:rsidR="008731A7" w:rsidRPr="008731A7" w:rsidRDefault="008731A7" w:rsidP="008F345A">
            <w:pPr>
              <w:ind w:right="92"/>
              <w:rPr>
                <w:rFonts w:cs="Times New Roman"/>
                <w:sz w:val="20"/>
                <w:szCs w:val="20"/>
              </w:rPr>
            </w:pPr>
            <w:r w:rsidRPr="008731A7">
              <w:rPr>
                <w:rFonts w:cs="Times New Roman"/>
                <w:sz w:val="20"/>
                <w:szCs w:val="20"/>
              </w:rPr>
              <w:t xml:space="preserve">інформацію  щодо характеристики продукту.  При цьому забороняється </w:t>
            </w:r>
          </w:p>
          <w:p w:rsidR="008731A7" w:rsidRPr="008731A7" w:rsidRDefault="008731A7" w:rsidP="008F345A">
            <w:pPr>
              <w:ind w:right="92"/>
              <w:rPr>
                <w:rFonts w:cs="Times New Roman"/>
                <w:sz w:val="20"/>
                <w:szCs w:val="20"/>
              </w:rPr>
            </w:pPr>
            <w:r w:rsidRPr="008731A7">
              <w:rPr>
                <w:rFonts w:cs="Times New Roman"/>
                <w:sz w:val="20"/>
                <w:szCs w:val="20"/>
              </w:rPr>
              <w:t xml:space="preserve">надання інформації,  яка  може  вводити  в  оману  або  створювати </w:t>
            </w:r>
          </w:p>
          <w:p w:rsidR="008731A7" w:rsidRPr="008731A7" w:rsidRDefault="008731A7" w:rsidP="008F345A">
            <w:pPr>
              <w:ind w:right="92"/>
              <w:rPr>
                <w:rFonts w:cs="Times New Roman"/>
                <w:sz w:val="20"/>
                <w:szCs w:val="20"/>
              </w:rPr>
            </w:pPr>
            <w:r w:rsidRPr="008731A7">
              <w:rPr>
                <w:rFonts w:cs="Times New Roman"/>
                <w:sz w:val="20"/>
                <w:szCs w:val="20"/>
              </w:rPr>
              <w:t xml:space="preserve">неправильне  враження  щодо  характеристик  тютюнових виробів,  їх </w:t>
            </w:r>
          </w:p>
          <w:p w:rsidR="008731A7" w:rsidRPr="008731A7" w:rsidRDefault="008731A7" w:rsidP="008F345A">
            <w:pPr>
              <w:ind w:right="92"/>
              <w:rPr>
                <w:rFonts w:cs="Times New Roman"/>
                <w:sz w:val="20"/>
                <w:szCs w:val="20"/>
              </w:rPr>
            </w:pPr>
            <w:r w:rsidRPr="008731A7">
              <w:rPr>
                <w:rFonts w:cs="Times New Roman"/>
                <w:sz w:val="20"/>
                <w:szCs w:val="20"/>
              </w:rPr>
              <w:t xml:space="preserve">впливу на здоров'я, уключаючи будь-який термін, напис, торговельну </w:t>
            </w:r>
          </w:p>
          <w:p w:rsidR="008731A7" w:rsidRPr="008731A7" w:rsidRDefault="008731A7" w:rsidP="008F345A">
            <w:pPr>
              <w:ind w:right="92"/>
              <w:rPr>
                <w:rFonts w:cs="Times New Roman"/>
                <w:sz w:val="20"/>
                <w:szCs w:val="20"/>
              </w:rPr>
            </w:pPr>
            <w:r w:rsidRPr="008731A7">
              <w:rPr>
                <w:rFonts w:cs="Times New Roman"/>
                <w:sz w:val="20"/>
                <w:szCs w:val="20"/>
              </w:rPr>
              <w:t xml:space="preserve">марку,  зображення, символічний або будь-який інший знак, що прямо </w:t>
            </w:r>
          </w:p>
          <w:p w:rsidR="008731A7" w:rsidRPr="008731A7" w:rsidRDefault="008731A7" w:rsidP="008F345A">
            <w:pPr>
              <w:ind w:right="92"/>
              <w:rPr>
                <w:rFonts w:cs="Times New Roman"/>
                <w:sz w:val="20"/>
                <w:szCs w:val="20"/>
              </w:rPr>
            </w:pPr>
            <w:r w:rsidRPr="008731A7">
              <w:rPr>
                <w:rFonts w:cs="Times New Roman"/>
                <w:sz w:val="20"/>
                <w:szCs w:val="20"/>
              </w:rPr>
              <w:t xml:space="preserve">чи опосередковано створює помилкове враження про те, що визначений </w:t>
            </w:r>
          </w:p>
          <w:p w:rsidR="008731A7" w:rsidRPr="008731A7" w:rsidRDefault="008731A7" w:rsidP="008F345A">
            <w:pPr>
              <w:ind w:right="92"/>
              <w:rPr>
                <w:rFonts w:cs="Times New Roman"/>
                <w:sz w:val="20"/>
                <w:szCs w:val="20"/>
              </w:rPr>
            </w:pPr>
            <w:r w:rsidRPr="008731A7">
              <w:rPr>
                <w:rFonts w:cs="Times New Roman"/>
                <w:sz w:val="20"/>
                <w:szCs w:val="20"/>
              </w:rPr>
              <w:t xml:space="preserve">тютюновий виріб є менш шкідливим, ніж інші тютюнові вироби, у тому </w:t>
            </w:r>
          </w:p>
          <w:p w:rsidR="008731A7" w:rsidRPr="008731A7" w:rsidRDefault="008731A7" w:rsidP="008F345A">
            <w:pPr>
              <w:ind w:right="92"/>
              <w:rPr>
                <w:rFonts w:cs="Times New Roman"/>
                <w:sz w:val="20"/>
                <w:szCs w:val="20"/>
              </w:rPr>
            </w:pPr>
            <w:r w:rsidRPr="008731A7">
              <w:rPr>
                <w:rFonts w:cs="Times New Roman"/>
                <w:sz w:val="20"/>
                <w:szCs w:val="20"/>
              </w:rPr>
              <w:t xml:space="preserve">числі  включати  такі  терміни,  як  "із  низьким  вмістом  смол", </w:t>
            </w:r>
          </w:p>
          <w:p w:rsidR="008731A7" w:rsidRPr="008731A7" w:rsidRDefault="008731A7" w:rsidP="008F345A">
            <w:pPr>
              <w:ind w:right="92"/>
              <w:rPr>
                <w:rFonts w:cs="Times New Roman"/>
                <w:sz w:val="20"/>
                <w:szCs w:val="20"/>
              </w:rPr>
            </w:pPr>
            <w:r w:rsidRPr="008731A7">
              <w:rPr>
                <w:rFonts w:cs="Times New Roman"/>
                <w:sz w:val="20"/>
                <w:szCs w:val="20"/>
              </w:rPr>
              <w:t>"легкі",  "</w:t>
            </w:r>
            <w:proofErr w:type="spellStart"/>
            <w:r w:rsidRPr="008731A7">
              <w:rPr>
                <w:rFonts w:cs="Times New Roman"/>
                <w:sz w:val="20"/>
                <w:szCs w:val="20"/>
              </w:rPr>
              <w:t>суперлегкі</w:t>
            </w:r>
            <w:proofErr w:type="spellEnd"/>
            <w:r w:rsidRPr="008731A7">
              <w:rPr>
                <w:rFonts w:cs="Times New Roman"/>
                <w:sz w:val="20"/>
                <w:szCs w:val="20"/>
              </w:rPr>
              <w:t>", "</w:t>
            </w:r>
            <w:proofErr w:type="spellStart"/>
            <w:r w:rsidRPr="008731A7">
              <w:rPr>
                <w:rFonts w:cs="Times New Roman"/>
                <w:sz w:val="20"/>
                <w:szCs w:val="20"/>
              </w:rPr>
              <w:t>ультралегкі</w:t>
            </w:r>
            <w:proofErr w:type="spellEnd"/>
            <w:r w:rsidRPr="008731A7">
              <w:rPr>
                <w:rFonts w:cs="Times New Roman"/>
                <w:sz w:val="20"/>
                <w:szCs w:val="20"/>
              </w:rPr>
              <w:t xml:space="preserve">" та їх аналоги іншими мовами. </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 xml:space="preserve">Абзац сьомий пункту 13 наказу </w:t>
            </w:r>
            <w:r w:rsidRPr="00F33433">
              <w:rPr>
                <w:rFonts w:eastAsia="SimSun"/>
                <w:sz w:val="20"/>
                <w:szCs w:val="20"/>
                <w:lang w:eastAsia="zh-CN"/>
              </w:rPr>
              <w:br/>
              <w:t>№ 218</w:t>
            </w:r>
          </w:p>
        </w:tc>
        <w:tc>
          <w:tcPr>
            <w:tcW w:w="1691" w:type="dxa"/>
            <w:shd w:val="clear" w:color="auto" w:fill="auto"/>
          </w:tcPr>
          <w:p w:rsidR="008731A7" w:rsidRPr="00F33433" w:rsidRDefault="008731A7" w:rsidP="008731A7">
            <w:pPr>
              <w:ind w:left="74" w:right="175"/>
              <w:rPr>
                <w:rFonts w:eastAsia="SimSun"/>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47.11,</w:t>
            </w:r>
          </w:p>
          <w:p w:rsidR="008731A7" w:rsidRPr="00F33433" w:rsidRDefault="008731A7" w:rsidP="008F345A">
            <w:pPr>
              <w:tabs>
                <w:tab w:val="left" w:pos="739"/>
              </w:tabs>
              <w:ind w:left="30"/>
              <w:jc w:val="center"/>
              <w:rPr>
                <w:rFonts w:eastAsia="SimSun"/>
                <w:b/>
                <w:sz w:val="20"/>
                <w:szCs w:val="20"/>
                <w:lang w:eastAsia="zh-CN"/>
              </w:rPr>
            </w:pPr>
            <w:r w:rsidRPr="00F33433">
              <w:rPr>
                <w:rFonts w:eastAsia="SimSun"/>
                <w:sz w:val="20"/>
                <w:szCs w:val="20"/>
                <w:lang w:eastAsia="zh-CN"/>
              </w:rPr>
              <w:t>47.26</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з використанням на їх упаковці слів «з низьким вмістом смоли», «легкі», «</w:t>
            </w:r>
            <w:proofErr w:type="spellStart"/>
            <w:r w:rsidRPr="00F33433">
              <w:rPr>
                <w:rFonts w:eastAsia="SimSun"/>
                <w:sz w:val="20"/>
                <w:szCs w:val="20"/>
                <w:lang w:eastAsia="zh-CN"/>
              </w:rPr>
              <w:t>суперлегкі</w:t>
            </w:r>
            <w:proofErr w:type="spellEnd"/>
            <w:r w:rsidRPr="00F33433">
              <w:rPr>
                <w:rFonts w:eastAsia="SimSun"/>
                <w:sz w:val="20"/>
                <w:szCs w:val="20"/>
                <w:lang w:eastAsia="zh-CN"/>
              </w:rPr>
              <w:t>», «</w:t>
            </w:r>
            <w:proofErr w:type="spellStart"/>
            <w:r w:rsidRPr="00F33433">
              <w:rPr>
                <w:rFonts w:eastAsia="SimSun"/>
                <w:sz w:val="20"/>
                <w:szCs w:val="20"/>
                <w:lang w:eastAsia="zh-CN"/>
              </w:rPr>
              <w:t>ультралегкі</w:t>
            </w:r>
            <w:proofErr w:type="spellEnd"/>
            <w:r w:rsidRPr="00F33433">
              <w:rPr>
                <w:rFonts w:eastAsia="SimSun"/>
                <w:sz w:val="20"/>
                <w:szCs w:val="20"/>
                <w:lang w:eastAsia="zh-CN"/>
              </w:rPr>
              <w:t>», аналогів таких слів на іноземних мовах</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sz w:val="20"/>
                <w:szCs w:val="20"/>
                <w:lang w:eastAsia="zh-CN"/>
              </w:rPr>
            </w:pPr>
            <w:r w:rsidRPr="00F33433">
              <w:rPr>
                <w:rFonts w:eastAsia="SimSun"/>
                <w:sz w:val="20"/>
                <w:szCs w:val="20"/>
                <w:lang w:eastAsia="zh-CN"/>
              </w:rPr>
              <w:t>Суб’єкт господарювання здійснює роздрібну реалізацію тютюнових виробів з використанням на їх упаковці слів «з низьким вмістом смоли», «легкі», «</w:t>
            </w:r>
            <w:proofErr w:type="spellStart"/>
            <w:r w:rsidRPr="00F33433">
              <w:rPr>
                <w:rFonts w:eastAsia="SimSun"/>
                <w:sz w:val="20"/>
                <w:szCs w:val="20"/>
                <w:lang w:eastAsia="zh-CN"/>
              </w:rPr>
              <w:t>суперлегкі</w:t>
            </w:r>
            <w:proofErr w:type="spellEnd"/>
            <w:r w:rsidRPr="00F33433">
              <w:rPr>
                <w:rFonts w:eastAsia="SimSun"/>
                <w:sz w:val="20"/>
                <w:szCs w:val="20"/>
                <w:lang w:eastAsia="zh-CN"/>
              </w:rPr>
              <w:t>», «</w:t>
            </w:r>
            <w:proofErr w:type="spellStart"/>
            <w:r w:rsidRPr="00F33433">
              <w:rPr>
                <w:rFonts w:eastAsia="SimSun"/>
                <w:sz w:val="20"/>
                <w:szCs w:val="20"/>
                <w:lang w:eastAsia="zh-CN"/>
              </w:rPr>
              <w:t>ультралегкі</w:t>
            </w:r>
            <w:proofErr w:type="spellEnd"/>
            <w:r w:rsidRPr="00F33433">
              <w:rPr>
                <w:rFonts w:eastAsia="SimSun"/>
                <w:sz w:val="20"/>
                <w:szCs w:val="20"/>
                <w:lang w:eastAsia="zh-CN"/>
              </w:rPr>
              <w:t>», аналоги таких слів іноземними мовами</w:t>
            </w:r>
          </w:p>
          <w:p w:rsidR="008731A7" w:rsidRPr="00F33433" w:rsidRDefault="008731A7" w:rsidP="008731A7">
            <w:pPr>
              <w:ind w:right="137"/>
              <w:rPr>
                <w:rFonts w:eastAsia="SimSun"/>
                <w:b/>
                <w:sz w:val="20"/>
                <w:szCs w:val="20"/>
                <w:lang w:eastAsia="zh-CN"/>
              </w:rPr>
            </w:pP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lastRenderedPageBreak/>
              <w:t>4</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виробництво (крім виробництва для експорту) та імпорт для реалізації на території України тютюнових виробів на упаковці яких відсутні медичні попередження споживачів тютюнових виробів і інформаційний напис про вміст нікотину та смоли в диму однієї сигарети (щодо сигарет)</w:t>
            </w:r>
          </w:p>
          <w:p w:rsidR="008731A7" w:rsidRPr="008731A7" w:rsidRDefault="008731A7" w:rsidP="008F345A">
            <w:pPr>
              <w:ind w:right="92"/>
              <w:rPr>
                <w:rFonts w:cs="Times New Roman"/>
                <w:sz w:val="20"/>
                <w:szCs w:val="20"/>
              </w:rPr>
            </w:pPr>
          </w:p>
          <w:p w:rsidR="008731A7" w:rsidRPr="008731A7" w:rsidRDefault="008731A7" w:rsidP="008F345A">
            <w:pPr>
              <w:ind w:right="92"/>
              <w:rPr>
                <w:rFonts w:cs="Times New Roman"/>
                <w:sz w:val="20"/>
                <w:szCs w:val="20"/>
              </w:rPr>
            </w:pPr>
            <w:r w:rsidRPr="008731A7">
              <w:rPr>
                <w:rFonts w:cs="Times New Roman"/>
                <w:sz w:val="20"/>
                <w:szCs w:val="20"/>
              </w:rPr>
              <w:t>На кожній упаковці тютюнових виробів мають бути зазначені основне медичне попередження споживачів тютюнових виробів та додаткове медичне попередження, що супроводжується відповідним кольоровим малюнком (малюнками) та/або піктограмою (піктограмами), а також має бути інформаційний напис про вміст нікотину та смоли в диму однієї сигарети (щодо сигарет).</w:t>
            </w:r>
          </w:p>
          <w:p w:rsidR="008731A7" w:rsidRPr="008731A7" w:rsidRDefault="008731A7" w:rsidP="008F345A">
            <w:pPr>
              <w:ind w:right="92"/>
              <w:rPr>
                <w:rFonts w:cs="Times New Roman"/>
                <w:sz w:val="20"/>
                <w:szCs w:val="20"/>
              </w:rPr>
            </w:pPr>
            <w:r w:rsidRPr="008731A7">
              <w:rPr>
                <w:rFonts w:cs="Times New Roman"/>
                <w:sz w:val="20"/>
                <w:szCs w:val="20"/>
              </w:rPr>
              <w:t>Основне медичне попередження споживачів тютюнових виробів "Куріння вбиває" зазначається на одній більшій зовнішній стороні упаковки.</w:t>
            </w:r>
          </w:p>
          <w:p w:rsidR="008731A7" w:rsidRPr="008731A7" w:rsidRDefault="008731A7" w:rsidP="008F345A">
            <w:pPr>
              <w:ind w:right="92"/>
              <w:rPr>
                <w:rFonts w:cs="Times New Roman"/>
                <w:sz w:val="20"/>
                <w:szCs w:val="20"/>
              </w:rPr>
            </w:pPr>
            <w:r w:rsidRPr="008731A7">
              <w:rPr>
                <w:rFonts w:cs="Times New Roman"/>
                <w:sz w:val="20"/>
                <w:szCs w:val="20"/>
              </w:rPr>
              <w:t xml:space="preserve">На другій більшій зовнішній стороні упаковки тютюнових виробів зазначається додаткове медичне попередження у вигляді одного з десяти текстових написів такого змісту: "Куріння викликає рак </w:t>
            </w:r>
            <w:proofErr w:type="spellStart"/>
            <w:r w:rsidRPr="008731A7">
              <w:rPr>
                <w:rFonts w:cs="Times New Roman"/>
                <w:sz w:val="20"/>
                <w:szCs w:val="20"/>
              </w:rPr>
              <w:t>легенів</w:t>
            </w:r>
            <w:proofErr w:type="spellEnd"/>
            <w:r w:rsidRPr="008731A7">
              <w:rPr>
                <w:rFonts w:cs="Times New Roman"/>
                <w:sz w:val="20"/>
                <w:szCs w:val="20"/>
              </w:rPr>
              <w:t xml:space="preserve">", "Куріння викликає залежність від тютюну (нікотинову залежність) - не починайте курити!", "Курці помирають рано", "Куріння </w:t>
            </w:r>
            <w:r w:rsidRPr="008731A7">
              <w:rPr>
                <w:rFonts w:cs="Times New Roman"/>
                <w:sz w:val="20"/>
                <w:szCs w:val="20"/>
              </w:rPr>
              <w:lastRenderedPageBreak/>
              <w:t xml:space="preserve">викликає старіння шкіри", "Куріння знижує здатність жінок народжувати дітей", "Відмова від куріння значно зменшує ризик небезпечних серцевих захворювань і захворювань </w:t>
            </w:r>
            <w:proofErr w:type="spellStart"/>
            <w:r w:rsidRPr="008731A7">
              <w:rPr>
                <w:rFonts w:cs="Times New Roman"/>
                <w:sz w:val="20"/>
                <w:szCs w:val="20"/>
              </w:rPr>
              <w:t>легенів</w:t>
            </w:r>
            <w:proofErr w:type="spellEnd"/>
            <w:r w:rsidRPr="008731A7">
              <w:rPr>
                <w:rFonts w:cs="Times New Roman"/>
                <w:sz w:val="20"/>
                <w:szCs w:val="20"/>
              </w:rPr>
              <w:t>", "Куріння руйнує артерії, викликає серцеві напади та інсульт", "Куріння може викликати повільну та болісну смерть", "Куріння під час вагітності завдає шкоди вашій дитині", "Куріння пошкоджує сперму і може призвести до імпотенції" і кольорового малюнка (малюнків) та/або піктограми (піктограм). Кожен варіант текстових написів додаткових медичних попереджень наноситься виробником тютюнових виробів на упаковки тютюнових виробів почергово.</w:t>
            </w:r>
          </w:p>
          <w:p w:rsidR="008731A7" w:rsidRPr="008731A7" w:rsidRDefault="008731A7" w:rsidP="008F345A">
            <w:pPr>
              <w:ind w:right="92"/>
              <w:rPr>
                <w:rFonts w:cs="Times New Roman"/>
                <w:sz w:val="20"/>
                <w:szCs w:val="20"/>
              </w:rPr>
            </w:pPr>
            <w:r w:rsidRPr="008731A7">
              <w:rPr>
                <w:rFonts w:cs="Times New Roman"/>
                <w:sz w:val="20"/>
                <w:szCs w:val="20"/>
              </w:rPr>
              <w:t>Зазначені малюнок (малюнки) та/або піктограма (піктограми) затверджуються постановою Кабінету Міністрів України за поданням центрального органу виконавчої влади у сфері охорони здоров'я і підлягають перегляду (перезатвердженню) Кабінетом Міністрів України у такому самому порядку один раз на п'ять років.</w:t>
            </w:r>
          </w:p>
          <w:p w:rsidR="008731A7" w:rsidRPr="008731A7" w:rsidRDefault="008731A7" w:rsidP="008F345A">
            <w:pPr>
              <w:ind w:right="92"/>
              <w:rPr>
                <w:rFonts w:cs="Times New Roman"/>
                <w:sz w:val="20"/>
                <w:szCs w:val="20"/>
              </w:rPr>
            </w:pPr>
            <w:r w:rsidRPr="008731A7">
              <w:rPr>
                <w:rFonts w:cs="Times New Roman"/>
                <w:sz w:val="20"/>
                <w:szCs w:val="20"/>
              </w:rPr>
              <w:t>Малюнок (малюнки) та/або піктограма (піктограми) наносяться виробником тютюнових виробів на упаковки тютюнових виробів не пізніше, ніж через 18 місяців з дня набрання чинності постанови Кабінету Міністрів України про їх затвердження (перезатвердження).</w:t>
            </w:r>
          </w:p>
          <w:p w:rsidR="008731A7" w:rsidRPr="008731A7" w:rsidRDefault="008731A7" w:rsidP="008F345A">
            <w:pPr>
              <w:ind w:right="92"/>
              <w:rPr>
                <w:rFonts w:cs="Times New Roman"/>
                <w:sz w:val="20"/>
                <w:szCs w:val="20"/>
              </w:rPr>
            </w:pPr>
            <w:r w:rsidRPr="008731A7">
              <w:rPr>
                <w:rFonts w:cs="Times New Roman"/>
                <w:sz w:val="20"/>
                <w:szCs w:val="20"/>
              </w:rPr>
              <w:lastRenderedPageBreak/>
              <w:t>Основне та додаткове медичні попередження споживачів тютюнових виробів мають бути розміщені у визначеному виробником або імпортером тютюнових виробів на упаковці місці в рамці чорного кольору шириною не менше ніж три міліметри. Площа, обмежена рамкою, включаючи площу самої рамки, має становити не менше 50 відсотків площі зовнішньої поверхні більшої зовнішньої сторони упаковки тютюнових виробів.</w:t>
            </w:r>
          </w:p>
          <w:p w:rsidR="008731A7" w:rsidRPr="008731A7" w:rsidRDefault="008731A7" w:rsidP="008F345A">
            <w:pPr>
              <w:ind w:right="92"/>
              <w:rPr>
                <w:rFonts w:cs="Times New Roman"/>
                <w:sz w:val="20"/>
                <w:szCs w:val="20"/>
              </w:rPr>
            </w:pPr>
            <w:r w:rsidRPr="008731A7">
              <w:rPr>
                <w:rFonts w:cs="Times New Roman"/>
                <w:sz w:val="20"/>
                <w:szCs w:val="20"/>
              </w:rPr>
              <w:t>Тексти основного та додаткового медичних попереджень споживачів тютюнових виробів, що зазначаються на кожній упаковці тютюнових виробів, мають бути чіткими, надрукованими чорним жирним шрифтом на білому фоні рядковими літерами, крім першої літери попередження, і розміщуватися таким чином, щоб забезпечити цілісність тексту при відкриванні тютюнового виробу у спосіб, зазначений на його упаковці, та не перекриватися іншою друкованою інформацією або марками акцизного збору.</w:t>
            </w:r>
          </w:p>
          <w:p w:rsidR="008731A7" w:rsidRPr="008731A7" w:rsidRDefault="008731A7" w:rsidP="008F345A">
            <w:pPr>
              <w:ind w:right="92"/>
              <w:rPr>
                <w:rFonts w:cs="Times New Roman"/>
                <w:sz w:val="20"/>
                <w:szCs w:val="20"/>
              </w:rPr>
            </w:pPr>
            <w:r w:rsidRPr="008731A7">
              <w:rPr>
                <w:rFonts w:cs="Times New Roman"/>
                <w:sz w:val="20"/>
                <w:szCs w:val="20"/>
              </w:rPr>
              <w:t xml:space="preserve">Інформаційний напис про вміст нікотину та смоли в диму однієї сигарети (щодо сигарет) зазначається на зовнішній поверхні однієї меншої сторони упаковки тютюнових виробів і повинен займати не менше 15 відсотків площі цієї сторони. </w:t>
            </w:r>
          </w:p>
          <w:p w:rsidR="008731A7" w:rsidRPr="008731A7" w:rsidRDefault="008731A7" w:rsidP="008F345A">
            <w:pPr>
              <w:ind w:right="92"/>
              <w:rPr>
                <w:rFonts w:cs="Times New Roman"/>
                <w:sz w:val="20"/>
                <w:szCs w:val="20"/>
              </w:rPr>
            </w:pPr>
          </w:p>
          <w:p w:rsidR="008731A7" w:rsidRPr="008731A7" w:rsidRDefault="008731A7" w:rsidP="008F345A">
            <w:pPr>
              <w:ind w:right="92"/>
              <w:rPr>
                <w:rFonts w:cs="Times New Roman"/>
                <w:sz w:val="20"/>
                <w:szCs w:val="20"/>
              </w:rPr>
            </w:pPr>
            <w:r w:rsidRPr="008731A7">
              <w:rPr>
                <w:rFonts w:cs="Times New Roman"/>
                <w:sz w:val="20"/>
                <w:szCs w:val="20"/>
              </w:rPr>
              <w:lastRenderedPageBreak/>
              <w:t xml:space="preserve">На додаткових медичних попередженнях на упаковці тютюнових </w:t>
            </w:r>
          </w:p>
          <w:p w:rsidR="008731A7" w:rsidRPr="008731A7" w:rsidRDefault="008731A7" w:rsidP="008F345A">
            <w:pPr>
              <w:ind w:right="92"/>
              <w:rPr>
                <w:rFonts w:cs="Times New Roman"/>
                <w:sz w:val="20"/>
                <w:szCs w:val="20"/>
              </w:rPr>
            </w:pPr>
            <w:r w:rsidRPr="008731A7">
              <w:rPr>
                <w:rFonts w:cs="Times New Roman"/>
                <w:sz w:val="20"/>
                <w:szCs w:val="20"/>
              </w:rPr>
              <w:t>виробів повинні розміщуватися кольорові малюнки і піктограми.</w:t>
            </w:r>
          </w:p>
          <w:p w:rsidR="008731A7" w:rsidRPr="008731A7" w:rsidRDefault="008731A7" w:rsidP="008F345A">
            <w:pPr>
              <w:ind w:right="92"/>
              <w:rPr>
                <w:rFonts w:cs="Times New Roman"/>
                <w:sz w:val="20"/>
                <w:szCs w:val="20"/>
              </w:rPr>
            </w:pPr>
            <w:r w:rsidRPr="008731A7">
              <w:rPr>
                <w:rFonts w:cs="Times New Roman"/>
                <w:sz w:val="20"/>
                <w:szCs w:val="20"/>
              </w:rPr>
              <w:t>(306а-2011-п).</w:t>
            </w:r>
          </w:p>
          <w:p w:rsidR="008731A7" w:rsidRPr="008731A7" w:rsidRDefault="008731A7" w:rsidP="008F345A">
            <w:pPr>
              <w:ind w:right="92"/>
              <w:rPr>
                <w:rFonts w:cs="Times New Roman"/>
                <w:sz w:val="20"/>
                <w:szCs w:val="20"/>
              </w:rPr>
            </w:pPr>
            <w:r w:rsidRPr="008731A7">
              <w:rPr>
                <w:rFonts w:cs="Times New Roman"/>
                <w:sz w:val="20"/>
                <w:szCs w:val="20"/>
              </w:rPr>
              <w:t xml:space="preserve">Виробники та імпортери тютюнових виробів для друку додаткових медичних попереджень на  упаковці тютюнових виробів повинні використовувати файли із зазначеними кольоровими малюнками та/або піктограмами, розміщеними на веб-сайті МОЗ. Зазначені кольорові малюнки та/або піктограми залежно від </w:t>
            </w:r>
          </w:p>
          <w:p w:rsidR="008731A7" w:rsidRPr="008731A7" w:rsidRDefault="008731A7" w:rsidP="008F345A">
            <w:pPr>
              <w:ind w:right="92"/>
              <w:rPr>
                <w:rFonts w:cs="Times New Roman"/>
                <w:sz w:val="20"/>
                <w:szCs w:val="20"/>
              </w:rPr>
            </w:pPr>
            <w:r w:rsidRPr="008731A7">
              <w:rPr>
                <w:rFonts w:cs="Times New Roman"/>
                <w:sz w:val="20"/>
                <w:szCs w:val="20"/>
              </w:rPr>
              <w:t xml:space="preserve">співвідношення висоти і ширини упаковки тютюнових виробів, на яку наноситься додаткове   медичне попередження, можуть бути </w:t>
            </w:r>
          </w:p>
          <w:p w:rsidR="008731A7" w:rsidRPr="008731A7" w:rsidRDefault="008731A7" w:rsidP="008F345A">
            <w:pPr>
              <w:ind w:right="92"/>
              <w:rPr>
                <w:rFonts w:cs="Times New Roman"/>
                <w:sz w:val="20"/>
                <w:szCs w:val="20"/>
              </w:rPr>
            </w:pPr>
            <w:r w:rsidRPr="008731A7">
              <w:rPr>
                <w:rFonts w:cs="Times New Roman"/>
                <w:sz w:val="20"/>
                <w:szCs w:val="20"/>
              </w:rPr>
              <w:t xml:space="preserve">масштабовані і кадровані таким чином, щоб зберегти повну наочність </w:t>
            </w:r>
          </w:p>
          <w:p w:rsidR="008731A7" w:rsidRPr="008731A7" w:rsidRDefault="008731A7" w:rsidP="008F345A">
            <w:pPr>
              <w:ind w:right="92"/>
              <w:rPr>
                <w:rFonts w:cs="Times New Roman"/>
                <w:sz w:val="20"/>
                <w:szCs w:val="20"/>
              </w:rPr>
            </w:pPr>
            <w:r w:rsidRPr="008731A7">
              <w:rPr>
                <w:rFonts w:cs="Times New Roman"/>
                <w:sz w:val="20"/>
                <w:szCs w:val="20"/>
              </w:rPr>
              <w:t>та ідею, що ілюструє малюнок та/або піктограма, без будь-яких змін їх кольорів.</w:t>
            </w:r>
          </w:p>
          <w:p w:rsidR="008731A7" w:rsidRPr="008731A7" w:rsidRDefault="008731A7" w:rsidP="008F345A">
            <w:pPr>
              <w:ind w:right="92"/>
              <w:rPr>
                <w:rFonts w:cs="Times New Roman"/>
                <w:sz w:val="20"/>
                <w:szCs w:val="20"/>
              </w:rPr>
            </w:pPr>
            <w:r w:rsidRPr="008731A7">
              <w:rPr>
                <w:rFonts w:cs="Times New Roman"/>
                <w:sz w:val="20"/>
                <w:szCs w:val="20"/>
              </w:rPr>
              <w:t xml:space="preserve">Кольорові  малюнки  та/або  піктограми  разом  з текстом </w:t>
            </w:r>
          </w:p>
          <w:p w:rsidR="008731A7" w:rsidRPr="008731A7" w:rsidRDefault="008731A7" w:rsidP="008F345A">
            <w:pPr>
              <w:ind w:right="92"/>
              <w:rPr>
                <w:rFonts w:cs="Times New Roman"/>
                <w:sz w:val="20"/>
                <w:szCs w:val="20"/>
              </w:rPr>
            </w:pPr>
            <w:r w:rsidRPr="008731A7">
              <w:rPr>
                <w:rFonts w:cs="Times New Roman"/>
                <w:sz w:val="20"/>
                <w:szCs w:val="20"/>
              </w:rPr>
              <w:t xml:space="preserve">додаткових медичних попереджень повинні бути розміщені в рамці </w:t>
            </w:r>
          </w:p>
          <w:p w:rsidR="008731A7" w:rsidRPr="008731A7" w:rsidRDefault="008731A7" w:rsidP="008F345A">
            <w:pPr>
              <w:ind w:right="92"/>
              <w:rPr>
                <w:rFonts w:cs="Times New Roman"/>
                <w:sz w:val="20"/>
                <w:szCs w:val="20"/>
              </w:rPr>
            </w:pPr>
            <w:r w:rsidRPr="008731A7">
              <w:rPr>
                <w:rFonts w:cs="Times New Roman"/>
                <w:sz w:val="20"/>
                <w:szCs w:val="20"/>
              </w:rPr>
              <w:t xml:space="preserve">чорного кольору і не перекривати текстову або візуальну інформацію </w:t>
            </w:r>
          </w:p>
          <w:p w:rsidR="008731A7" w:rsidRPr="008731A7" w:rsidRDefault="008731A7" w:rsidP="008F345A">
            <w:pPr>
              <w:ind w:right="92"/>
              <w:rPr>
                <w:rFonts w:cs="Times New Roman"/>
                <w:sz w:val="20"/>
                <w:szCs w:val="20"/>
                <w:highlight w:val="yellow"/>
              </w:rPr>
            </w:pPr>
            <w:r w:rsidRPr="008731A7">
              <w:rPr>
                <w:rFonts w:cs="Times New Roman"/>
                <w:sz w:val="20"/>
                <w:szCs w:val="20"/>
              </w:rPr>
              <w:t>на попередженнях.</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lastRenderedPageBreak/>
              <w:t xml:space="preserve">Абзац третій частини другої статті 10, стаття 12 ЗУ № 2899-IV, пункти 1 та 2 ПКМУ № 306 </w:t>
            </w:r>
          </w:p>
          <w:p w:rsidR="008731A7" w:rsidRPr="00F33433" w:rsidRDefault="008731A7" w:rsidP="008731A7">
            <w:pPr>
              <w:ind w:left="83" w:right="173"/>
              <w:rPr>
                <w:rFonts w:eastAsia="SimSun"/>
                <w:sz w:val="20"/>
                <w:szCs w:val="20"/>
                <w:lang w:eastAsia="zh-CN"/>
              </w:rPr>
            </w:pP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46.17,</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46.35</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без медичних попереджень (основних і додаткових з кольоровими малюнками та піктограмами) та напису про вміст нікотину та смоли в диму однієї сигарети</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sz w:val="20"/>
                <w:szCs w:val="20"/>
                <w:lang w:eastAsia="zh-CN"/>
              </w:rPr>
            </w:pPr>
            <w:r w:rsidRPr="00F33433">
              <w:rPr>
                <w:rFonts w:eastAsia="SimSun"/>
                <w:sz w:val="20"/>
                <w:szCs w:val="20"/>
                <w:lang w:eastAsia="zh-CN"/>
              </w:rPr>
              <w:t>Заборона імпорту, оптової реалізації тютюнових виробів без медичних попереджень (основних і додаткових з кольоровими малюнками та піктограмами) споживачів тютюнових виробів і інформаційного напису про вміст нікотину та смоли в диму однієї сигарети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lastRenderedPageBreak/>
              <w:t>5</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виробництво (крім виробництва для експорту) та імпорт для реалізації на території України тютюнових виробів:</w:t>
            </w:r>
          </w:p>
          <w:p w:rsidR="008731A7" w:rsidRPr="008731A7" w:rsidRDefault="008731A7" w:rsidP="008F345A">
            <w:pPr>
              <w:ind w:right="92"/>
              <w:rPr>
                <w:rFonts w:cs="Times New Roman"/>
                <w:sz w:val="20"/>
                <w:szCs w:val="20"/>
              </w:rPr>
            </w:pPr>
            <w:r w:rsidRPr="008731A7">
              <w:rPr>
                <w:rFonts w:cs="Times New Roman"/>
                <w:sz w:val="20"/>
                <w:szCs w:val="20"/>
              </w:rPr>
              <w:lastRenderedPageBreak/>
              <w:t>сигарет, в яких показники вмісту нікотину та смоли в диму однієї сигарети перевищують - нікотину 1,2 міліграма, смоли - 12 міліграмів.</w:t>
            </w:r>
          </w:p>
          <w:p w:rsidR="008731A7" w:rsidRPr="008731A7" w:rsidRDefault="008731A7" w:rsidP="008F345A">
            <w:pPr>
              <w:ind w:right="92"/>
              <w:rPr>
                <w:rFonts w:cs="Times New Roman"/>
                <w:sz w:val="20"/>
                <w:szCs w:val="20"/>
              </w:rPr>
            </w:pPr>
          </w:p>
        </w:tc>
        <w:tc>
          <w:tcPr>
            <w:tcW w:w="1634" w:type="dxa"/>
            <w:shd w:val="clear" w:color="auto" w:fill="auto"/>
          </w:tcPr>
          <w:p w:rsidR="008731A7" w:rsidRPr="00F33433" w:rsidRDefault="008731A7" w:rsidP="008731A7">
            <w:pPr>
              <w:ind w:left="83" w:right="173"/>
              <w:rPr>
                <w:rFonts w:eastAsia="SimSun"/>
                <w:b/>
                <w:sz w:val="20"/>
                <w:szCs w:val="20"/>
                <w:lang w:eastAsia="zh-CN"/>
              </w:rPr>
            </w:pPr>
            <w:r w:rsidRPr="00F33433">
              <w:rPr>
                <w:rFonts w:eastAsia="SimSun"/>
                <w:sz w:val="20"/>
                <w:szCs w:val="20"/>
                <w:lang w:eastAsia="zh-CN"/>
              </w:rPr>
              <w:lastRenderedPageBreak/>
              <w:t xml:space="preserve">Абзац другий частини другої статті 10 ЗУ № 2899-IV </w:t>
            </w:r>
          </w:p>
          <w:p w:rsidR="008731A7" w:rsidRPr="00F33433" w:rsidRDefault="008731A7" w:rsidP="008731A7">
            <w:pPr>
              <w:ind w:left="83" w:right="173"/>
              <w:rPr>
                <w:rFonts w:eastAsia="SimSun"/>
                <w:b/>
                <w:sz w:val="20"/>
                <w:szCs w:val="20"/>
                <w:lang w:eastAsia="zh-CN"/>
              </w:rPr>
            </w:pP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46.17,</w:t>
            </w:r>
          </w:p>
          <w:p w:rsidR="008731A7" w:rsidRPr="00F33433" w:rsidRDefault="008731A7" w:rsidP="008F345A">
            <w:pPr>
              <w:tabs>
                <w:tab w:val="left" w:pos="739"/>
              </w:tabs>
              <w:ind w:left="30"/>
              <w:jc w:val="center"/>
              <w:rPr>
                <w:rFonts w:eastAsia="SimSun"/>
                <w:b/>
                <w:sz w:val="20"/>
                <w:szCs w:val="20"/>
                <w:lang w:eastAsia="zh-CN"/>
              </w:rPr>
            </w:pPr>
            <w:r w:rsidRPr="00F33433">
              <w:rPr>
                <w:rFonts w:eastAsia="SimSun"/>
                <w:sz w:val="20"/>
                <w:szCs w:val="20"/>
                <w:lang w:eastAsia="zh-CN"/>
              </w:rPr>
              <w:t>46.35</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 xml:space="preserve">Виробництво та введення в обіг на території України або імпорт та оптова реалізація або </w:t>
            </w:r>
            <w:r w:rsidRPr="00F33433">
              <w:rPr>
                <w:rFonts w:eastAsia="SimSun"/>
                <w:sz w:val="20"/>
                <w:szCs w:val="20"/>
                <w:lang w:eastAsia="zh-CN"/>
              </w:rPr>
              <w:lastRenderedPageBreak/>
              <w:t>роздрібна реалізація тютюнових виробів у яких вміст шкідливих речовин перевищує встановлені законодавством допустимі рівні</w:t>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lastRenderedPageBreak/>
              <w:t xml:space="preserve">Шкода здоров’ю людини внаслідок активного або </w:t>
            </w:r>
            <w:r w:rsidRPr="00F33433">
              <w:rPr>
                <w:rFonts w:eastAsia="SimSun"/>
                <w:sz w:val="20"/>
                <w:szCs w:val="20"/>
                <w:lang w:eastAsia="zh-CN"/>
              </w:rPr>
              <w:lastRenderedPageBreak/>
              <w:t>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lastRenderedPageBreak/>
              <w:t>4</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 xml:space="preserve">Заборона імпорту, оптової реалізації тютюнових виробів, у </w:t>
            </w:r>
            <w:r w:rsidRPr="00F33433">
              <w:rPr>
                <w:rFonts w:eastAsia="SimSun"/>
                <w:sz w:val="20"/>
                <w:szCs w:val="20"/>
                <w:lang w:eastAsia="zh-CN"/>
              </w:rPr>
              <w:lastRenderedPageBreak/>
              <w:t>яких вміст шкідливих речовин перевищує встановлені законодавством допустимі рівні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t>6</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виробництво (крім виробництва для експорту) та імпорт для реалізації на території України тютюнових виробів із використанням на їх упаковці термінів, написів, торговельних марок, зображень, символічних або будь-яких інших знаків, що можуть вводити в оману або створювати неправильне враження щодо характеристик тютюнових виробів, їх впливу на здоров'я, або прямо чи опосередковано створювати помилкове враження про те, що визначений тютюновий виріб є менш шкідливим, ніж інші тютюнові вироби, у тому числі включати такі терміни, як "із низьким вмістом смол", "легкі", "супер легкі", "ультра легкі" та їх аналоги іншими мовами</w:t>
            </w:r>
          </w:p>
          <w:p w:rsidR="008731A7" w:rsidRPr="008731A7" w:rsidRDefault="008731A7" w:rsidP="008F345A">
            <w:pPr>
              <w:ind w:right="92"/>
              <w:rPr>
                <w:rFonts w:cs="Times New Roman"/>
                <w:sz w:val="20"/>
                <w:szCs w:val="20"/>
              </w:rPr>
            </w:pPr>
            <w:r w:rsidRPr="008731A7">
              <w:rPr>
                <w:rFonts w:cs="Times New Roman"/>
                <w:sz w:val="20"/>
                <w:szCs w:val="20"/>
              </w:rPr>
              <w:t>здоров'я</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Абзац четвертий частини другої статті 10 ЗУ</w:t>
            </w:r>
          </w:p>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 xml:space="preserve">№ 2899-IV </w:t>
            </w:r>
          </w:p>
          <w:p w:rsidR="008731A7" w:rsidRPr="00F33433" w:rsidRDefault="008731A7" w:rsidP="008731A7">
            <w:pPr>
              <w:ind w:left="83" w:right="173" w:firstLine="112"/>
              <w:rPr>
                <w:rFonts w:eastAsia="SimSun"/>
                <w:sz w:val="20"/>
                <w:szCs w:val="20"/>
                <w:lang w:eastAsia="zh-CN"/>
              </w:rPr>
            </w:pP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46.17,</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46.35</w:t>
            </w:r>
          </w:p>
          <w:p w:rsidR="008731A7" w:rsidRPr="00F33433" w:rsidRDefault="008731A7" w:rsidP="008F345A">
            <w:pPr>
              <w:tabs>
                <w:tab w:val="left" w:pos="739"/>
              </w:tabs>
              <w:ind w:left="30"/>
              <w:jc w:val="center"/>
              <w:rPr>
                <w:rFonts w:eastAsia="SimSun"/>
                <w:sz w:val="20"/>
                <w:szCs w:val="20"/>
                <w:lang w:eastAsia="zh-CN"/>
              </w:rPr>
            </w:pP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з використанням на їх упаковці слів «з низьким вмістом смоли», «легкі», «</w:t>
            </w:r>
            <w:proofErr w:type="spellStart"/>
            <w:r w:rsidRPr="00F33433">
              <w:rPr>
                <w:rFonts w:eastAsia="SimSun"/>
                <w:sz w:val="20"/>
                <w:szCs w:val="20"/>
                <w:lang w:eastAsia="zh-CN"/>
              </w:rPr>
              <w:t>суперлегкі</w:t>
            </w:r>
            <w:proofErr w:type="spellEnd"/>
            <w:r w:rsidRPr="00F33433">
              <w:rPr>
                <w:rFonts w:eastAsia="SimSun"/>
                <w:sz w:val="20"/>
                <w:szCs w:val="20"/>
                <w:lang w:eastAsia="zh-CN"/>
              </w:rPr>
              <w:t>», «</w:t>
            </w:r>
            <w:proofErr w:type="spellStart"/>
            <w:r w:rsidRPr="00F33433">
              <w:rPr>
                <w:rFonts w:eastAsia="SimSun"/>
                <w:sz w:val="20"/>
                <w:szCs w:val="20"/>
                <w:lang w:eastAsia="zh-CN"/>
              </w:rPr>
              <w:t>ультралегкі</w:t>
            </w:r>
            <w:proofErr w:type="spellEnd"/>
            <w:r w:rsidRPr="00F33433">
              <w:rPr>
                <w:rFonts w:eastAsia="SimSun"/>
                <w:sz w:val="20"/>
                <w:szCs w:val="20"/>
                <w:lang w:eastAsia="zh-CN"/>
              </w:rPr>
              <w:t>», аналогів таких слів на іноземних мовах</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sz w:val="20"/>
                <w:szCs w:val="20"/>
                <w:lang w:eastAsia="zh-CN"/>
              </w:rPr>
            </w:pPr>
            <w:r w:rsidRPr="00F33433">
              <w:rPr>
                <w:rFonts w:eastAsia="SimSun"/>
                <w:sz w:val="20"/>
                <w:szCs w:val="20"/>
                <w:lang w:eastAsia="zh-CN"/>
              </w:rPr>
              <w:t>Заборона імпорту, оптової реалізації тютюнових виробів з використанням на їх упаковці слів «з низьким вмістом смоли», «легкі», «</w:t>
            </w:r>
            <w:proofErr w:type="spellStart"/>
            <w:r w:rsidRPr="00F33433">
              <w:rPr>
                <w:rFonts w:eastAsia="SimSun"/>
                <w:sz w:val="20"/>
                <w:szCs w:val="20"/>
                <w:lang w:eastAsia="zh-CN"/>
              </w:rPr>
              <w:t>суперлегкі</w:t>
            </w:r>
            <w:proofErr w:type="spellEnd"/>
            <w:r w:rsidRPr="00F33433">
              <w:rPr>
                <w:rFonts w:eastAsia="SimSun"/>
                <w:sz w:val="20"/>
                <w:szCs w:val="20"/>
                <w:lang w:eastAsia="zh-CN"/>
              </w:rPr>
              <w:t>», «</w:t>
            </w:r>
            <w:proofErr w:type="spellStart"/>
            <w:r w:rsidRPr="00F33433">
              <w:rPr>
                <w:rFonts w:eastAsia="SimSun"/>
                <w:sz w:val="20"/>
                <w:szCs w:val="20"/>
                <w:lang w:eastAsia="zh-CN"/>
              </w:rPr>
              <w:t>ультралегкі</w:t>
            </w:r>
            <w:proofErr w:type="spellEnd"/>
            <w:r w:rsidRPr="00F33433">
              <w:rPr>
                <w:rFonts w:eastAsia="SimSun"/>
                <w:sz w:val="20"/>
                <w:szCs w:val="20"/>
                <w:lang w:eastAsia="zh-CN"/>
              </w:rPr>
              <w:t>», аналоги таких слів іноземними мовами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t>7</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 xml:space="preserve">Забороняється виробництво (крім виробництва для експорту) та імпорт для реалізації на території України тютюнових виробів на упаковці яких відсутні медичні попередження споживачів тютюнових виробів і інформаційний напис про </w:t>
            </w:r>
            <w:r w:rsidRPr="008731A7">
              <w:rPr>
                <w:rFonts w:cs="Times New Roman"/>
                <w:sz w:val="20"/>
                <w:szCs w:val="20"/>
              </w:rPr>
              <w:lastRenderedPageBreak/>
              <w:t>вміст нікотину та смоли в диму однієї сигарети (щодо сигарет)</w:t>
            </w:r>
          </w:p>
          <w:p w:rsidR="008731A7" w:rsidRPr="008731A7" w:rsidRDefault="008731A7" w:rsidP="008F345A">
            <w:pPr>
              <w:ind w:right="92"/>
              <w:rPr>
                <w:rFonts w:cs="Times New Roman"/>
                <w:sz w:val="20"/>
                <w:szCs w:val="20"/>
              </w:rPr>
            </w:pPr>
          </w:p>
          <w:p w:rsidR="008731A7" w:rsidRPr="008731A7" w:rsidRDefault="008731A7" w:rsidP="008F345A">
            <w:pPr>
              <w:ind w:right="92"/>
              <w:rPr>
                <w:rFonts w:cs="Times New Roman"/>
                <w:sz w:val="20"/>
                <w:szCs w:val="20"/>
              </w:rPr>
            </w:pPr>
            <w:r w:rsidRPr="008731A7">
              <w:rPr>
                <w:rFonts w:cs="Times New Roman"/>
                <w:sz w:val="20"/>
                <w:szCs w:val="20"/>
              </w:rPr>
              <w:t>На кожній упаковці тютюнових виробів мають бути зазначені основне медичне попередження споживачів тютюнових виробів та додаткове медичне попередження, що супроводжується відповідним кольоровим малюнком (малюнками) та/або піктограмою (піктограмами), а також має бути інформаційний напис про вміст нікотину та смоли в диму однієї сигарети (щодо сигарет).</w:t>
            </w:r>
          </w:p>
          <w:p w:rsidR="008731A7" w:rsidRPr="008731A7" w:rsidRDefault="008731A7" w:rsidP="008F345A">
            <w:pPr>
              <w:ind w:right="92"/>
              <w:rPr>
                <w:rFonts w:cs="Times New Roman"/>
                <w:sz w:val="20"/>
                <w:szCs w:val="20"/>
              </w:rPr>
            </w:pPr>
            <w:r w:rsidRPr="008731A7">
              <w:rPr>
                <w:rFonts w:cs="Times New Roman"/>
                <w:sz w:val="20"/>
                <w:szCs w:val="20"/>
              </w:rPr>
              <w:t>Основне медичне попередження споживачів тютюнових виробів "Куріння вбиває" зазначається на одній більшій зовнішній стороні упаковки.</w:t>
            </w:r>
          </w:p>
          <w:p w:rsidR="008731A7" w:rsidRPr="008731A7" w:rsidRDefault="008731A7" w:rsidP="008F345A">
            <w:pPr>
              <w:ind w:right="92"/>
              <w:rPr>
                <w:rFonts w:cs="Times New Roman"/>
                <w:sz w:val="20"/>
                <w:szCs w:val="20"/>
              </w:rPr>
            </w:pPr>
            <w:r w:rsidRPr="008731A7">
              <w:rPr>
                <w:rFonts w:cs="Times New Roman"/>
                <w:sz w:val="20"/>
                <w:szCs w:val="20"/>
              </w:rPr>
              <w:t xml:space="preserve">На другій більшій зовнішній стороні упаковки тютюнових виробів зазначається додаткове медичне попередження у вигляді одного з десяти текстових написів такого змісту: "Куріння викликає рак </w:t>
            </w:r>
            <w:proofErr w:type="spellStart"/>
            <w:r w:rsidRPr="008731A7">
              <w:rPr>
                <w:rFonts w:cs="Times New Roman"/>
                <w:sz w:val="20"/>
                <w:szCs w:val="20"/>
              </w:rPr>
              <w:t>легенів</w:t>
            </w:r>
            <w:proofErr w:type="spellEnd"/>
            <w:r w:rsidRPr="008731A7">
              <w:rPr>
                <w:rFonts w:cs="Times New Roman"/>
                <w:sz w:val="20"/>
                <w:szCs w:val="20"/>
              </w:rPr>
              <w:t xml:space="preserve">", "Куріння викликає залежність від тютюну (нікотинову залежність) - не починайте курити!", "Курці помирають рано", "Куріння викликає старіння шкіри", "Куріння знижує здатність жінок народжувати дітей", "Відмова від куріння значно зменшує ризик небезпечних серцевих захворювань і захворювань </w:t>
            </w:r>
            <w:proofErr w:type="spellStart"/>
            <w:r w:rsidRPr="008731A7">
              <w:rPr>
                <w:rFonts w:cs="Times New Roman"/>
                <w:sz w:val="20"/>
                <w:szCs w:val="20"/>
              </w:rPr>
              <w:t>легенів</w:t>
            </w:r>
            <w:proofErr w:type="spellEnd"/>
            <w:r w:rsidRPr="008731A7">
              <w:rPr>
                <w:rFonts w:cs="Times New Roman"/>
                <w:sz w:val="20"/>
                <w:szCs w:val="20"/>
              </w:rPr>
              <w:t xml:space="preserve">", "Куріння руйнує артерії, викликає серцеві напади та </w:t>
            </w:r>
            <w:r w:rsidRPr="008731A7">
              <w:rPr>
                <w:rFonts w:cs="Times New Roman"/>
                <w:sz w:val="20"/>
                <w:szCs w:val="20"/>
              </w:rPr>
              <w:lastRenderedPageBreak/>
              <w:t>інсульт", "Куріння може викликати повільну та болісну смерть", "Куріння під час вагітності завдає шкоди вашій дитині", "Куріння пошкоджує сперму і може призвести до імпотенції" і кольорового малюнка (малюнків) та/або піктограми (піктограм). Кожен варіант текстових написів додаткових медичних попереджень наноситься виробником тютюнових виробів на упаковки тютюнових виробів почергово.</w:t>
            </w:r>
          </w:p>
          <w:p w:rsidR="008731A7" w:rsidRPr="008731A7" w:rsidRDefault="008731A7" w:rsidP="008F345A">
            <w:pPr>
              <w:ind w:right="92"/>
              <w:rPr>
                <w:rFonts w:cs="Times New Roman"/>
                <w:sz w:val="20"/>
                <w:szCs w:val="20"/>
              </w:rPr>
            </w:pPr>
            <w:r w:rsidRPr="008731A7">
              <w:rPr>
                <w:rFonts w:cs="Times New Roman"/>
                <w:sz w:val="20"/>
                <w:szCs w:val="20"/>
              </w:rPr>
              <w:t>Зазначені малюнок (малюнки) та/або піктограма (піктограми) затверджуються постановою Кабінету Міністрів України за поданням центрального органу виконавчої влади у сфері охорони здоров'я і підлягають перегляду (перезатвердженню) Кабінетом Міністрів України у такому самому порядку один раз на п'ять років.</w:t>
            </w:r>
          </w:p>
          <w:p w:rsidR="008731A7" w:rsidRPr="008731A7" w:rsidRDefault="008731A7" w:rsidP="008F345A">
            <w:pPr>
              <w:ind w:right="92"/>
              <w:rPr>
                <w:rFonts w:cs="Times New Roman"/>
                <w:sz w:val="20"/>
                <w:szCs w:val="20"/>
              </w:rPr>
            </w:pPr>
            <w:r w:rsidRPr="008731A7">
              <w:rPr>
                <w:rFonts w:cs="Times New Roman"/>
                <w:sz w:val="20"/>
                <w:szCs w:val="20"/>
              </w:rPr>
              <w:t>Малюнок (малюнки) та/або піктограма (піктограми) наносяться виробником тютюнових виробів на упаковки тютюнових виробів не пізніше, ніж через 18 місяців з дня набрання чинності постанови Кабінету Міністрів України про їх затвердження (перезатвердження).</w:t>
            </w:r>
          </w:p>
          <w:p w:rsidR="008731A7" w:rsidRPr="008731A7" w:rsidRDefault="008731A7" w:rsidP="008F345A">
            <w:pPr>
              <w:ind w:right="92"/>
              <w:rPr>
                <w:rFonts w:cs="Times New Roman"/>
                <w:sz w:val="20"/>
                <w:szCs w:val="20"/>
              </w:rPr>
            </w:pPr>
            <w:r w:rsidRPr="008731A7">
              <w:rPr>
                <w:rFonts w:cs="Times New Roman"/>
                <w:sz w:val="20"/>
                <w:szCs w:val="20"/>
              </w:rPr>
              <w:t xml:space="preserve">Основне та додаткове медичні попередження споживачів тютюнових виробів мають бути розміщені у визначеному виробником або імпортером тютюнових виробів на упаковці місці в рамці чорного кольору шириною не менше ніж три міліметри. Площа, </w:t>
            </w:r>
            <w:r w:rsidRPr="008731A7">
              <w:rPr>
                <w:rFonts w:cs="Times New Roman"/>
                <w:sz w:val="20"/>
                <w:szCs w:val="20"/>
              </w:rPr>
              <w:lastRenderedPageBreak/>
              <w:t>обмежена рамкою, включаючи площу самої рамки, має становити не менше 50 відсотків площі зовнішньої поверхні більшої зовнішньої сторони упаковки тютюнових виробів.</w:t>
            </w:r>
          </w:p>
          <w:p w:rsidR="008731A7" w:rsidRPr="008731A7" w:rsidRDefault="008731A7" w:rsidP="008F345A">
            <w:pPr>
              <w:ind w:right="92"/>
              <w:rPr>
                <w:rFonts w:cs="Times New Roman"/>
                <w:sz w:val="20"/>
                <w:szCs w:val="20"/>
              </w:rPr>
            </w:pPr>
            <w:r w:rsidRPr="008731A7">
              <w:rPr>
                <w:rFonts w:cs="Times New Roman"/>
                <w:sz w:val="20"/>
                <w:szCs w:val="20"/>
              </w:rPr>
              <w:t>Тексти основного та додаткового медичних попереджень споживачів тютюнових виробів, що зазначаються на кожній упаковці тютюнових виробів, мають бути чіткими, надрукованими чорним жирним шрифтом на білому фоні рядковими літерами, крім першої літери попередження, і розміщуватися таким чином, щоб забезпечити цілісність тексту при відкриванні тютюнового виробу у спосіб, зазначений на його упаковці, та не перекриватися іншою друкованою інформацією або марками акцизного збору.</w:t>
            </w:r>
          </w:p>
          <w:p w:rsidR="008731A7" w:rsidRPr="008731A7" w:rsidRDefault="008731A7" w:rsidP="008F345A">
            <w:pPr>
              <w:ind w:right="92"/>
              <w:rPr>
                <w:rFonts w:cs="Times New Roman"/>
                <w:sz w:val="20"/>
                <w:szCs w:val="20"/>
              </w:rPr>
            </w:pPr>
            <w:r w:rsidRPr="008731A7">
              <w:rPr>
                <w:rFonts w:cs="Times New Roman"/>
                <w:sz w:val="20"/>
                <w:szCs w:val="20"/>
              </w:rPr>
              <w:t xml:space="preserve">Інформаційний напис про вміст нікотину та смоли в диму однієї сигарети (щодо сигарет) зазначається на зовнішній поверхні однієї меншої сторони упаковки тютюнових виробів і повинен займати не менше 15 відсотків площі цієї сторони. </w:t>
            </w:r>
          </w:p>
          <w:p w:rsidR="008731A7" w:rsidRPr="008731A7" w:rsidRDefault="008731A7" w:rsidP="008F345A">
            <w:pPr>
              <w:ind w:right="92"/>
              <w:rPr>
                <w:rFonts w:cs="Times New Roman"/>
                <w:sz w:val="20"/>
                <w:szCs w:val="20"/>
              </w:rPr>
            </w:pPr>
          </w:p>
          <w:p w:rsidR="008731A7" w:rsidRPr="008731A7" w:rsidRDefault="008731A7" w:rsidP="008F345A">
            <w:pPr>
              <w:ind w:right="92"/>
              <w:rPr>
                <w:rFonts w:cs="Times New Roman"/>
                <w:sz w:val="20"/>
                <w:szCs w:val="20"/>
              </w:rPr>
            </w:pPr>
            <w:r w:rsidRPr="008731A7">
              <w:rPr>
                <w:rFonts w:cs="Times New Roman"/>
                <w:sz w:val="20"/>
                <w:szCs w:val="20"/>
              </w:rPr>
              <w:t xml:space="preserve">На додаткових медичних попередженнях на упаковці тютюнових </w:t>
            </w:r>
          </w:p>
          <w:p w:rsidR="008731A7" w:rsidRPr="008731A7" w:rsidRDefault="008731A7" w:rsidP="008F345A">
            <w:pPr>
              <w:ind w:right="92"/>
              <w:rPr>
                <w:rFonts w:cs="Times New Roman"/>
                <w:sz w:val="20"/>
                <w:szCs w:val="20"/>
              </w:rPr>
            </w:pPr>
            <w:r w:rsidRPr="008731A7">
              <w:rPr>
                <w:rFonts w:cs="Times New Roman"/>
                <w:sz w:val="20"/>
                <w:szCs w:val="20"/>
              </w:rPr>
              <w:t>виробів повинні розміщуватися кольорові малюнки і піктограми.</w:t>
            </w:r>
          </w:p>
          <w:p w:rsidR="008731A7" w:rsidRPr="008731A7" w:rsidRDefault="008731A7" w:rsidP="008F345A">
            <w:pPr>
              <w:ind w:right="92"/>
              <w:rPr>
                <w:rFonts w:cs="Times New Roman"/>
                <w:sz w:val="20"/>
                <w:szCs w:val="20"/>
              </w:rPr>
            </w:pPr>
            <w:r w:rsidRPr="008731A7">
              <w:rPr>
                <w:rFonts w:cs="Times New Roman"/>
                <w:sz w:val="20"/>
                <w:szCs w:val="20"/>
              </w:rPr>
              <w:t xml:space="preserve">Виробники та імпортери тютюнових виробів для друку додаткових медичних попереджень на  упаковці </w:t>
            </w:r>
            <w:r w:rsidRPr="008731A7">
              <w:rPr>
                <w:rFonts w:cs="Times New Roman"/>
                <w:sz w:val="20"/>
                <w:szCs w:val="20"/>
              </w:rPr>
              <w:lastRenderedPageBreak/>
              <w:t xml:space="preserve">тютюнових виробів повинні використовувати файли із зазначеними кольоровими малюнками та/або піктограмами, розміщеними на веб-сайті МОЗ. Зазначені кольорові малюнки та/або піктограми залежно від </w:t>
            </w:r>
          </w:p>
          <w:p w:rsidR="008731A7" w:rsidRPr="008731A7" w:rsidRDefault="008731A7" w:rsidP="008F345A">
            <w:pPr>
              <w:ind w:right="92"/>
              <w:rPr>
                <w:rFonts w:cs="Times New Roman"/>
                <w:sz w:val="20"/>
                <w:szCs w:val="20"/>
              </w:rPr>
            </w:pPr>
            <w:r w:rsidRPr="008731A7">
              <w:rPr>
                <w:rFonts w:cs="Times New Roman"/>
                <w:sz w:val="20"/>
                <w:szCs w:val="20"/>
              </w:rPr>
              <w:t xml:space="preserve">співвідношення висоти і ширини упаковки тютюнових виробів, на яку наноситься додаткове   медичне попередження, можуть бути </w:t>
            </w:r>
          </w:p>
          <w:p w:rsidR="008731A7" w:rsidRPr="008731A7" w:rsidRDefault="008731A7" w:rsidP="008F345A">
            <w:pPr>
              <w:ind w:right="92"/>
              <w:rPr>
                <w:rFonts w:cs="Times New Roman"/>
                <w:sz w:val="20"/>
                <w:szCs w:val="20"/>
              </w:rPr>
            </w:pPr>
            <w:r w:rsidRPr="008731A7">
              <w:rPr>
                <w:rFonts w:cs="Times New Roman"/>
                <w:sz w:val="20"/>
                <w:szCs w:val="20"/>
              </w:rPr>
              <w:t xml:space="preserve">масштабовані і кадровані таким чином, щоб зберегти повну наочність </w:t>
            </w:r>
          </w:p>
          <w:p w:rsidR="008731A7" w:rsidRPr="008731A7" w:rsidRDefault="008731A7" w:rsidP="008F345A">
            <w:pPr>
              <w:ind w:right="92"/>
              <w:rPr>
                <w:rFonts w:cs="Times New Roman"/>
                <w:sz w:val="20"/>
                <w:szCs w:val="20"/>
              </w:rPr>
            </w:pPr>
            <w:r w:rsidRPr="008731A7">
              <w:rPr>
                <w:rFonts w:cs="Times New Roman"/>
                <w:sz w:val="20"/>
                <w:szCs w:val="20"/>
              </w:rPr>
              <w:t>та ідею, що ілюструє малюнок та/або піктограма, без будь-яких змін їх кольорів.</w:t>
            </w:r>
          </w:p>
          <w:p w:rsidR="008731A7" w:rsidRPr="008731A7" w:rsidRDefault="008731A7" w:rsidP="008F345A">
            <w:pPr>
              <w:ind w:right="92"/>
              <w:rPr>
                <w:rFonts w:cs="Times New Roman"/>
                <w:sz w:val="20"/>
                <w:szCs w:val="20"/>
              </w:rPr>
            </w:pPr>
            <w:r w:rsidRPr="008731A7">
              <w:rPr>
                <w:rFonts w:cs="Times New Roman"/>
                <w:sz w:val="20"/>
                <w:szCs w:val="20"/>
              </w:rPr>
              <w:t xml:space="preserve">Кольорові  малюнки  та/або  піктограми  разом  з текстом </w:t>
            </w:r>
          </w:p>
          <w:p w:rsidR="008731A7" w:rsidRPr="008731A7" w:rsidRDefault="008731A7" w:rsidP="008F345A">
            <w:pPr>
              <w:ind w:right="92"/>
              <w:rPr>
                <w:rFonts w:cs="Times New Roman"/>
                <w:sz w:val="20"/>
                <w:szCs w:val="20"/>
              </w:rPr>
            </w:pPr>
            <w:r w:rsidRPr="008731A7">
              <w:rPr>
                <w:rFonts w:cs="Times New Roman"/>
                <w:sz w:val="20"/>
                <w:szCs w:val="20"/>
              </w:rPr>
              <w:t xml:space="preserve">додаткових медичних попереджень повинні бути розміщені в рамці </w:t>
            </w:r>
          </w:p>
          <w:p w:rsidR="008731A7" w:rsidRPr="008731A7" w:rsidRDefault="008731A7" w:rsidP="008F345A">
            <w:pPr>
              <w:ind w:right="92"/>
              <w:rPr>
                <w:rFonts w:cs="Times New Roman"/>
                <w:sz w:val="20"/>
                <w:szCs w:val="20"/>
              </w:rPr>
            </w:pPr>
            <w:r w:rsidRPr="008731A7">
              <w:rPr>
                <w:rFonts w:cs="Times New Roman"/>
                <w:sz w:val="20"/>
                <w:szCs w:val="20"/>
              </w:rPr>
              <w:t xml:space="preserve">чорного кольору і не перекривати текстову або візуальну інформацію </w:t>
            </w:r>
          </w:p>
          <w:p w:rsidR="008731A7" w:rsidRPr="008731A7" w:rsidRDefault="008731A7" w:rsidP="008F345A">
            <w:pPr>
              <w:ind w:right="92"/>
              <w:rPr>
                <w:rFonts w:cs="Times New Roman"/>
                <w:sz w:val="20"/>
                <w:szCs w:val="20"/>
              </w:rPr>
            </w:pPr>
            <w:r w:rsidRPr="008731A7">
              <w:rPr>
                <w:rFonts w:cs="Times New Roman"/>
                <w:sz w:val="20"/>
                <w:szCs w:val="20"/>
              </w:rPr>
              <w:t>на попередженнях</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lastRenderedPageBreak/>
              <w:t>Абзац третій частини другої статті 10, стаття 12 ЗУ № 2899-IV, пункти 1 та 2 ПКМУ  № 306</w:t>
            </w:r>
          </w:p>
          <w:p w:rsidR="008731A7" w:rsidRPr="00F33433" w:rsidRDefault="008731A7" w:rsidP="008731A7">
            <w:pPr>
              <w:ind w:left="83" w:right="173" w:firstLine="112"/>
              <w:rPr>
                <w:rFonts w:eastAsia="SimSun"/>
                <w:sz w:val="20"/>
                <w:szCs w:val="20"/>
                <w:lang w:eastAsia="zh-CN"/>
              </w:rPr>
            </w:pP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12.00,</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46.17,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46.35,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47.11,</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47.26</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 xml:space="preserve">Виробництво та введення в обіг на території України або імпорт та оптова реалізація або роздрібна реалізація тютюнових </w:t>
            </w:r>
            <w:r w:rsidRPr="00F33433">
              <w:rPr>
                <w:rFonts w:eastAsia="SimSun"/>
                <w:sz w:val="20"/>
                <w:szCs w:val="20"/>
                <w:lang w:eastAsia="zh-CN"/>
              </w:rPr>
              <w:lastRenderedPageBreak/>
              <w:t>виробів без медичних попереджень (основних і додаткових з кольоровими малюнками та піктограмами)та напису про вміст нікотину та смоли в диму однієї сигарети</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lastRenderedPageBreak/>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 xml:space="preserve">Заборона виробництва та введення в обіг на території України тютюнових виробів без медичних </w:t>
            </w:r>
            <w:r w:rsidRPr="00F33433">
              <w:rPr>
                <w:rFonts w:eastAsia="SimSun"/>
                <w:sz w:val="20"/>
                <w:szCs w:val="20"/>
                <w:lang w:eastAsia="zh-CN"/>
              </w:rPr>
              <w:lastRenderedPageBreak/>
              <w:t>попереджень (основних і додаткових з кольоровими малюнками та піктограмами) та напису про вміст нікотину та смоли в диму однієї сигарети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lastRenderedPageBreak/>
              <w:t>8</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виробництво (крім виробництва для експорту) та імпорт для реалізації на території України тютюнових виробів:</w:t>
            </w:r>
          </w:p>
          <w:p w:rsidR="008731A7" w:rsidRPr="008731A7" w:rsidRDefault="008731A7" w:rsidP="008F345A">
            <w:pPr>
              <w:ind w:right="92"/>
              <w:rPr>
                <w:rFonts w:cs="Times New Roman"/>
                <w:sz w:val="20"/>
                <w:szCs w:val="20"/>
              </w:rPr>
            </w:pPr>
            <w:r w:rsidRPr="008731A7">
              <w:rPr>
                <w:rFonts w:cs="Times New Roman"/>
                <w:sz w:val="20"/>
                <w:szCs w:val="20"/>
              </w:rPr>
              <w:t>сигарет, в яких показники вмісту нікотину та смоли в диму однієї сигарети перевищують - нікотину 1,2 міліграма, смоли - 12 міліграмів.</w:t>
            </w:r>
          </w:p>
          <w:p w:rsidR="008731A7" w:rsidRPr="008731A7" w:rsidRDefault="008731A7" w:rsidP="008F345A">
            <w:pPr>
              <w:ind w:right="92"/>
              <w:rPr>
                <w:rFonts w:cs="Times New Roman"/>
                <w:sz w:val="20"/>
                <w:szCs w:val="20"/>
              </w:rPr>
            </w:pP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 xml:space="preserve">Абзац другий частини другої статті 10 ЗУ </w:t>
            </w:r>
            <w:r w:rsidRPr="00F33433">
              <w:rPr>
                <w:rFonts w:eastAsia="SimSun"/>
                <w:sz w:val="20"/>
                <w:szCs w:val="20"/>
                <w:lang w:eastAsia="zh-CN"/>
              </w:rPr>
              <w:br/>
              <w:t xml:space="preserve">№ 2899-IV </w:t>
            </w:r>
          </w:p>
          <w:p w:rsidR="008731A7" w:rsidRPr="00F33433" w:rsidRDefault="008731A7" w:rsidP="008731A7">
            <w:pPr>
              <w:ind w:left="83" w:right="173" w:firstLine="112"/>
              <w:rPr>
                <w:rFonts w:eastAsia="SimSun"/>
                <w:sz w:val="20"/>
                <w:szCs w:val="20"/>
                <w:lang w:eastAsia="zh-CN"/>
              </w:rPr>
            </w:pP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12.00,</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46.17,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46.35,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47.11,</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47.26</w:t>
            </w:r>
          </w:p>
        </w:tc>
        <w:tc>
          <w:tcPr>
            <w:tcW w:w="1233" w:type="dxa"/>
            <w:shd w:val="clear" w:color="auto" w:fill="auto"/>
          </w:tcPr>
          <w:p w:rsidR="008731A7" w:rsidRPr="00F33433" w:rsidRDefault="008731A7" w:rsidP="008731A7">
            <w:pPr>
              <w:jc w:val="center"/>
              <w:rPr>
                <w:rFonts w:eastAsia="SimSun"/>
                <w:b/>
                <w:color w:val="FF0000"/>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у яких вміст шкідливих речовин перевищує встановлені законодавством допустимі рівні</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4</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Заборона виробництва та введення в обіг на території України тютюнових виробів, у яких вміст шкідливих речовин перевищує встановлені законодавством допустимі рівні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Pr>
                <w:rFonts w:cs="Times New Roman"/>
                <w:sz w:val="20"/>
                <w:szCs w:val="20"/>
              </w:rPr>
              <w:lastRenderedPageBreak/>
              <w:t>9</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виробництво (крім виробництва для експорту) та імпорт для реалізації на території України тютюнових виробів:</w:t>
            </w:r>
          </w:p>
          <w:p w:rsidR="008731A7" w:rsidRPr="008731A7" w:rsidRDefault="008731A7" w:rsidP="008F345A">
            <w:pPr>
              <w:ind w:right="92"/>
              <w:rPr>
                <w:rFonts w:cs="Times New Roman"/>
                <w:sz w:val="20"/>
                <w:szCs w:val="20"/>
              </w:rPr>
            </w:pPr>
            <w:r w:rsidRPr="008731A7">
              <w:rPr>
                <w:rFonts w:cs="Times New Roman"/>
                <w:sz w:val="20"/>
                <w:szCs w:val="20"/>
              </w:rPr>
              <w:t>із використанням на їх упаковці термінів, написів, торговельних марок, зображень, символічних або будь-яких інших знаків, що можуть вводити в оману або створювати неправильне враження щодо характеристик тютюнових виробів, їх впливу на здоров'я, або прямо чи опосередковано створювати помилкове враження про те, що визначений тютюновий виріб є менш шкідливим, ніж інші тютюнові вироби, у тому числі включати такі терміни, як "із низьким вмістом смол", "легкі", "супер легкі", "ультра легкі" та їх аналоги іншими мовами.</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Абзац четвертий частини другої статті 10 ЗУ № 2899-IV</w:t>
            </w:r>
          </w:p>
          <w:p w:rsidR="008731A7" w:rsidRPr="00F33433" w:rsidRDefault="008731A7" w:rsidP="008731A7">
            <w:pPr>
              <w:ind w:left="83" w:right="173"/>
              <w:rPr>
                <w:rFonts w:eastAsia="SimSun"/>
                <w:sz w:val="20"/>
                <w:szCs w:val="20"/>
                <w:lang w:eastAsia="zh-CN"/>
              </w:rPr>
            </w:pP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12.00,</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46.17,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46.35,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47.11,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47.26</w:t>
            </w:r>
          </w:p>
        </w:tc>
        <w:tc>
          <w:tcPr>
            <w:tcW w:w="1233" w:type="dxa"/>
            <w:shd w:val="clear" w:color="auto" w:fill="auto"/>
          </w:tcPr>
          <w:p w:rsidR="008731A7" w:rsidRPr="00F33433" w:rsidRDefault="008731A7" w:rsidP="008731A7">
            <w:pPr>
              <w:jc w:val="center"/>
              <w:rPr>
                <w:rFonts w:eastAsia="SimSun"/>
                <w:b/>
                <w:color w:val="FF0000"/>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Виробництво та введення в обіг на території України або імпорт та оптова реалізація або роздрібна реалізація тютюнових виробів з використанням на їх упаковці слів «з низьким вмістом смоли», «легкі», «</w:t>
            </w:r>
            <w:proofErr w:type="spellStart"/>
            <w:r w:rsidRPr="00F33433">
              <w:rPr>
                <w:rFonts w:eastAsia="SimSun"/>
                <w:sz w:val="20"/>
                <w:szCs w:val="20"/>
                <w:lang w:eastAsia="zh-CN"/>
              </w:rPr>
              <w:t>суперлегкі</w:t>
            </w:r>
            <w:proofErr w:type="spellEnd"/>
            <w:r w:rsidRPr="00F33433">
              <w:rPr>
                <w:rFonts w:eastAsia="SimSun"/>
                <w:sz w:val="20"/>
                <w:szCs w:val="20"/>
                <w:lang w:eastAsia="zh-CN"/>
              </w:rPr>
              <w:t>», «</w:t>
            </w:r>
            <w:proofErr w:type="spellStart"/>
            <w:r w:rsidRPr="00F33433">
              <w:rPr>
                <w:rFonts w:eastAsia="SimSun"/>
                <w:sz w:val="20"/>
                <w:szCs w:val="20"/>
                <w:lang w:eastAsia="zh-CN"/>
              </w:rPr>
              <w:t>ультралегкі</w:t>
            </w:r>
            <w:proofErr w:type="spellEnd"/>
            <w:r w:rsidRPr="00F33433">
              <w:rPr>
                <w:rFonts w:eastAsia="SimSun"/>
                <w:sz w:val="20"/>
                <w:szCs w:val="20"/>
                <w:lang w:eastAsia="zh-CN"/>
              </w:rPr>
              <w:t>», аналогів таких слів на іноземних мовах</w:t>
            </w:r>
            <w:r w:rsidRPr="00F33433">
              <w:rPr>
                <w:rFonts w:eastAsia="SimSun"/>
                <w:sz w:val="20"/>
                <w:szCs w:val="20"/>
                <w:lang w:eastAsia="zh-CN"/>
              </w:rPr>
              <w:tab/>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b/>
                <w:color w:val="FF0000"/>
                <w:sz w:val="20"/>
                <w:szCs w:val="20"/>
                <w:lang w:eastAsia="zh-CN"/>
              </w:rPr>
            </w:pPr>
            <w:r w:rsidRPr="00F33433">
              <w:rPr>
                <w:rFonts w:eastAsia="SimSun"/>
                <w:sz w:val="20"/>
                <w:szCs w:val="20"/>
                <w:lang w:eastAsia="zh-CN"/>
              </w:rPr>
              <w:t>Заборона виробництва та введення в обіг на території України тютюнових виробів з використанням на їх упаковці слів «з низьким вмістом смоли», «легкі», «</w:t>
            </w:r>
            <w:proofErr w:type="spellStart"/>
            <w:r w:rsidRPr="00F33433">
              <w:rPr>
                <w:rFonts w:eastAsia="SimSun"/>
                <w:sz w:val="20"/>
                <w:szCs w:val="20"/>
                <w:lang w:eastAsia="zh-CN"/>
              </w:rPr>
              <w:t>суперлегкі</w:t>
            </w:r>
            <w:proofErr w:type="spellEnd"/>
            <w:r w:rsidRPr="00F33433">
              <w:rPr>
                <w:rFonts w:eastAsia="SimSun"/>
                <w:sz w:val="20"/>
                <w:szCs w:val="20"/>
                <w:lang w:eastAsia="zh-CN"/>
              </w:rPr>
              <w:t>», «</w:t>
            </w:r>
            <w:proofErr w:type="spellStart"/>
            <w:r w:rsidRPr="00F33433">
              <w:rPr>
                <w:rFonts w:eastAsia="SimSun"/>
                <w:sz w:val="20"/>
                <w:szCs w:val="20"/>
                <w:lang w:eastAsia="zh-CN"/>
              </w:rPr>
              <w:t>ультралегкі</w:t>
            </w:r>
            <w:proofErr w:type="spellEnd"/>
            <w:r w:rsidRPr="00F33433">
              <w:rPr>
                <w:rFonts w:eastAsia="SimSun"/>
                <w:sz w:val="20"/>
                <w:szCs w:val="20"/>
                <w:lang w:eastAsia="zh-CN"/>
              </w:rPr>
              <w:t>», аналоги таких слів іноземними мовами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t>1</w:t>
            </w:r>
            <w:r>
              <w:rPr>
                <w:rFonts w:cs="Times New Roman"/>
                <w:sz w:val="20"/>
                <w:szCs w:val="20"/>
              </w:rPr>
              <w:t>0</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куріння тютюнових виробів, а також електронних сигарет і кальянів у приміщеннях закладів ресторанного господарства.</w:t>
            </w:r>
          </w:p>
          <w:p w:rsidR="008731A7" w:rsidRPr="008731A7" w:rsidRDefault="008731A7" w:rsidP="008F345A">
            <w:pPr>
              <w:ind w:right="92"/>
              <w:rPr>
                <w:rFonts w:cs="Times New Roman"/>
                <w:sz w:val="20"/>
                <w:szCs w:val="20"/>
              </w:rPr>
            </w:pPr>
          </w:p>
          <w:p w:rsidR="008731A7" w:rsidRPr="008731A7" w:rsidRDefault="008731A7" w:rsidP="008F345A">
            <w:pPr>
              <w:ind w:right="92"/>
              <w:rPr>
                <w:rFonts w:cs="Times New Roman"/>
                <w:sz w:val="20"/>
                <w:szCs w:val="20"/>
              </w:rPr>
            </w:pPr>
            <w:r w:rsidRPr="008731A7">
              <w:rPr>
                <w:rFonts w:cs="Times New Roman"/>
                <w:sz w:val="20"/>
                <w:szCs w:val="20"/>
              </w:rPr>
              <w:t>На території для осіб, які не курять, персоналу та споживачам забороняється куріння будь-яких тютюнових виробів, а також розміщення попільничок.</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 xml:space="preserve">Пункт 9 частини другої статті 13 ЗУ </w:t>
            </w:r>
            <w:r w:rsidRPr="00F33433">
              <w:rPr>
                <w:rFonts w:eastAsia="SimSun"/>
                <w:sz w:val="20"/>
                <w:szCs w:val="20"/>
                <w:lang w:eastAsia="zh-CN"/>
              </w:rPr>
              <w:br/>
              <w:t xml:space="preserve">№ 2899-IV, пункт 3.10 </w:t>
            </w:r>
          </w:p>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 xml:space="preserve">наказу </w:t>
            </w:r>
          </w:p>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t>№ 219</w:t>
            </w: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56.10,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56.30</w:t>
            </w:r>
          </w:p>
        </w:tc>
        <w:tc>
          <w:tcPr>
            <w:tcW w:w="1233"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Розміщення попільничок або куріння у закладу ресторанного господарства</w:t>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4</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Заборона куріння тютюнових виробів, електронних сигарет і кальянів та заборона розміщення попільничок у приміщенні закладу ресторанного господарства виконуються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t>1</w:t>
            </w:r>
            <w:r>
              <w:rPr>
                <w:rFonts w:cs="Times New Roman"/>
                <w:sz w:val="20"/>
                <w:szCs w:val="20"/>
              </w:rPr>
              <w:t>1</w:t>
            </w:r>
          </w:p>
        </w:tc>
        <w:tc>
          <w:tcPr>
            <w:tcW w:w="2842" w:type="dxa"/>
          </w:tcPr>
          <w:p w:rsidR="008731A7" w:rsidRPr="008731A7" w:rsidRDefault="008731A7" w:rsidP="008F345A">
            <w:pPr>
              <w:ind w:right="92"/>
              <w:rPr>
                <w:rFonts w:cs="Times New Roman"/>
                <w:sz w:val="20"/>
                <w:szCs w:val="20"/>
              </w:rPr>
            </w:pPr>
            <w:r w:rsidRPr="008731A7">
              <w:rPr>
                <w:rFonts w:cs="Times New Roman"/>
                <w:sz w:val="20"/>
                <w:szCs w:val="20"/>
              </w:rPr>
              <w:t>Забороняється, крім спеціально відведених для цього місць, куріння тютюнових виробів:</w:t>
            </w:r>
          </w:p>
          <w:p w:rsidR="008731A7" w:rsidRPr="008731A7" w:rsidRDefault="008731A7" w:rsidP="008F345A">
            <w:pPr>
              <w:ind w:right="92"/>
              <w:rPr>
                <w:rFonts w:cs="Times New Roman"/>
                <w:sz w:val="20"/>
                <w:szCs w:val="20"/>
              </w:rPr>
            </w:pPr>
            <w:r w:rsidRPr="008731A7">
              <w:rPr>
                <w:rFonts w:cs="Times New Roman"/>
                <w:sz w:val="20"/>
                <w:szCs w:val="20"/>
              </w:rPr>
              <w:lastRenderedPageBreak/>
              <w:t>1) у приміщеннях підприємств, установ та організацій усіх форм власності;</w:t>
            </w:r>
          </w:p>
          <w:p w:rsidR="008731A7" w:rsidRPr="008731A7" w:rsidRDefault="008731A7" w:rsidP="008F345A">
            <w:pPr>
              <w:ind w:right="92"/>
              <w:rPr>
                <w:rFonts w:cs="Times New Roman"/>
                <w:sz w:val="20"/>
                <w:szCs w:val="20"/>
              </w:rPr>
            </w:pPr>
            <w:r w:rsidRPr="008731A7">
              <w:rPr>
                <w:rFonts w:cs="Times New Roman"/>
                <w:sz w:val="20"/>
                <w:szCs w:val="20"/>
              </w:rPr>
              <w:t>2) у приміщеннях готелів та аналогічних засобів розміщення громадян;</w:t>
            </w:r>
          </w:p>
          <w:p w:rsidR="008731A7" w:rsidRPr="008731A7" w:rsidRDefault="008731A7" w:rsidP="008F345A">
            <w:pPr>
              <w:ind w:right="92"/>
              <w:rPr>
                <w:rFonts w:cs="Times New Roman"/>
                <w:sz w:val="20"/>
                <w:szCs w:val="20"/>
              </w:rPr>
            </w:pPr>
            <w:r w:rsidRPr="008731A7">
              <w:rPr>
                <w:rFonts w:cs="Times New Roman"/>
                <w:sz w:val="20"/>
                <w:szCs w:val="20"/>
              </w:rPr>
              <w:t>3) у приміщеннях гуртожитків;</w:t>
            </w:r>
          </w:p>
          <w:p w:rsidR="008731A7" w:rsidRPr="008731A7" w:rsidRDefault="008731A7" w:rsidP="008F345A">
            <w:pPr>
              <w:ind w:right="92"/>
              <w:rPr>
                <w:rFonts w:cs="Times New Roman"/>
                <w:sz w:val="20"/>
                <w:szCs w:val="20"/>
              </w:rPr>
            </w:pPr>
            <w:r w:rsidRPr="008731A7">
              <w:rPr>
                <w:rFonts w:cs="Times New Roman"/>
                <w:sz w:val="20"/>
                <w:szCs w:val="20"/>
              </w:rPr>
              <w:t xml:space="preserve">4) в аеропортах та на вокзалах. </w:t>
            </w:r>
          </w:p>
          <w:p w:rsidR="008731A7" w:rsidRPr="008731A7" w:rsidRDefault="008731A7" w:rsidP="008F345A">
            <w:pPr>
              <w:ind w:right="92"/>
              <w:rPr>
                <w:rFonts w:cs="Times New Roman"/>
                <w:sz w:val="20"/>
                <w:szCs w:val="20"/>
              </w:rPr>
            </w:pPr>
            <w:r w:rsidRPr="008731A7">
              <w:rPr>
                <w:rFonts w:cs="Times New Roman"/>
                <w:sz w:val="20"/>
                <w:szCs w:val="20"/>
              </w:rPr>
              <w:t xml:space="preserve">У спеціально відведених для куріння місцях розміщується наочна інформація, яка складається із відповідного графічного </w:t>
            </w:r>
            <w:proofErr w:type="spellStart"/>
            <w:r w:rsidRPr="008731A7">
              <w:rPr>
                <w:rFonts w:cs="Times New Roman"/>
                <w:sz w:val="20"/>
                <w:szCs w:val="20"/>
              </w:rPr>
              <w:t>знака</w:t>
            </w:r>
            <w:proofErr w:type="spellEnd"/>
            <w:r w:rsidRPr="008731A7">
              <w:rPr>
                <w:rFonts w:cs="Times New Roman"/>
                <w:sz w:val="20"/>
                <w:szCs w:val="20"/>
              </w:rPr>
              <w:t xml:space="preserve"> та тексту такого змісту: "Місце для куріння. Куріння шкодить Вашому здоров'ю!".</w:t>
            </w:r>
          </w:p>
          <w:p w:rsidR="008731A7" w:rsidRPr="008731A7" w:rsidRDefault="008731A7" w:rsidP="008F345A">
            <w:pPr>
              <w:ind w:right="92"/>
              <w:rPr>
                <w:rFonts w:cs="Times New Roman"/>
                <w:sz w:val="20"/>
                <w:szCs w:val="20"/>
              </w:rPr>
            </w:pPr>
            <w:r w:rsidRPr="008731A7">
              <w:rPr>
                <w:rFonts w:cs="Times New Roman"/>
                <w:sz w:val="20"/>
                <w:szCs w:val="20"/>
              </w:rPr>
              <w:t>Власник, уповноважені ним особи або орендарі відповідних споруд чи окремих приміщень зобов’язані відвести спеціальні місця для куріння, сумарна площа яких не має перевищувати 10 відсотків загальної площі відповідної споруди чи приміщення, обладнані витяжною вентиляцією чи іншими засобами для видалення тютюнового диму, а також розмістити інформацію, передбачену частиною п’ятою цієї статті.</w:t>
            </w:r>
          </w:p>
        </w:tc>
        <w:tc>
          <w:tcPr>
            <w:tcW w:w="1634" w:type="dxa"/>
            <w:shd w:val="clear" w:color="auto" w:fill="auto"/>
          </w:tcPr>
          <w:p w:rsidR="008731A7" w:rsidRPr="00F33433" w:rsidRDefault="008731A7" w:rsidP="008731A7">
            <w:pPr>
              <w:ind w:left="83" w:right="173"/>
              <w:rPr>
                <w:rFonts w:eastAsia="SimSun"/>
                <w:color w:val="FF0000"/>
                <w:sz w:val="20"/>
                <w:szCs w:val="20"/>
                <w:lang w:eastAsia="zh-CN"/>
              </w:rPr>
            </w:pPr>
            <w:r w:rsidRPr="00F33433">
              <w:rPr>
                <w:rFonts w:eastAsia="SimSun"/>
                <w:sz w:val="20"/>
                <w:szCs w:val="20"/>
                <w:lang w:eastAsia="zh-CN"/>
              </w:rPr>
              <w:lastRenderedPageBreak/>
              <w:t xml:space="preserve">Частини третя, п’ята і сьома статті 13 ЗУ </w:t>
            </w:r>
            <w:r w:rsidRPr="00F33433">
              <w:rPr>
                <w:rFonts w:eastAsia="SimSun"/>
                <w:sz w:val="20"/>
                <w:szCs w:val="20"/>
                <w:lang w:eastAsia="zh-CN"/>
              </w:rPr>
              <w:br/>
              <w:t>№ 2899-IV</w:t>
            </w:r>
          </w:p>
        </w:tc>
        <w:tc>
          <w:tcPr>
            <w:tcW w:w="1691" w:type="dxa"/>
            <w:shd w:val="clear" w:color="auto" w:fill="auto"/>
          </w:tcPr>
          <w:p w:rsidR="008731A7" w:rsidRPr="00F33433" w:rsidRDefault="008731A7" w:rsidP="008731A7">
            <w:pPr>
              <w:ind w:left="74" w:right="175"/>
              <w:rPr>
                <w:rFonts w:eastAsia="SimSun"/>
                <w:b/>
                <w:color w:val="FF0000"/>
                <w:sz w:val="20"/>
                <w:szCs w:val="20"/>
                <w:lang w:eastAsia="zh-CN"/>
              </w:rPr>
            </w:pPr>
            <w:r w:rsidRPr="00F33433">
              <w:rPr>
                <w:rFonts w:eastAsia="SimSun"/>
                <w:sz w:val="20"/>
                <w:szCs w:val="20"/>
                <w:lang w:eastAsia="zh-CN"/>
              </w:rPr>
              <w:t>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Усі види діяльності крім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49-51, 56.10,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lastRenderedPageBreak/>
              <w:t>56.30,</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84-88,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90,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91,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93.10,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94, </w:t>
            </w:r>
          </w:p>
          <w:p w:rsidR="008731A7" w:rsidRPr="00F33433" w:rsidRDefault="008731A7" w:rsidP="008F345A">
            <w:pPr>
              <w:tabs>
                <w:tab w:val="left" w:pos="739"/>
              </w:tabs>
              <w:ind w:left="30"/>
              <w:jc w:val="center"/>
              <w:rPr>
                <w:rFonts w:eastAsia="SimSun"/>
                <w:color w:val="FF0000"/>
                <w:sz w:val="20"/>
                <w:szCs w:val="20"/>
                <w:lang w:eastAsia="zh-CN"/>
              </w:rPr>
            </w:pPr>
            <w:r w:rsidRPr="00F33433">
              <w:rPr>
                <w:rFonts w:eastAsia="SimSun"/>
                <w:sz w:val="20"/>
                <w:szCs w:val="20"/>
                <w:lang w:eastAsia="zh-CN"/>
              </w:rPr>
              <w:t>97-99</w:t>
            </w:r>
          </w:p>
        </w:tc>
        <w:tc>
          <w:tcPr>
            <w:tcW w:w="1233" w:type="dxa"/>
            <w:shd w:val="clear" w:color="auto" w:fill="auto"/>
          </w:tcPr>
          <w:p w:rsidR="008731A7" w:rsidRPr="00F33433" w:rsidRDefault="008731A7" w:rsidP="008731A7">
            <w:pPr>
              <w:jc w:val="center"/>
              <w:rPr>
                <w:rFonts w:eastAsia="SimSun"/>
                <w:b/>
                <w:color w:val="FF0000"/>
                <w:sz w:val="20"/>
                <w:szCs w:val="20"/>
                <w:lang w:eastAsia="zh-CN"/>
              </w:rPr>
            </w:pPr>
            <w:r w:rsidRPr="00F33433">
              <w:rPr>
                <w:rFonts w:eastAsia="SimSun"/>
                <w:sz w:val="20"/>
                <w:szCs w:val="20"/>
                <w:lang w:eastAsia="zh-CN"/>
              </w:rPr>
              <w:lastRenderedPageBreak/>
              <w:t>01</w:t>
            </w:r>
          </w:p>
        </w:tc>
        <w:tc>
          <w:tcPr>
            <w:tcW w:w="1671" w:type="dxa"/>
            <w:shd w:val="clear" w:color="auto" w:fill="auto"/>
          </w:tcPr>
          <w:p w:rsidR="008731A7" w:rsidRPr="00F33433" w:rsidRDefault="008731A7" w:rsidP="008731A7">
            <w:pPr>
              <w:ind w:right="165"/>
              <w:rPr>
                <w:rFonts w:eastAsia="SimSun"/>
                <w:color w:val="FF0000"/>
                <w:sz w:val="20"/>
                <w:szCs w:val="20"/>
                <w:lang w:eastAsia="zh-CN"/>
              </w:rPr>
            </w:pPr>
            <w:proofErr w:type="spellStart"/>
            <w:r w:rsidRPr="00F33433">
              <w:rPr>
                <w:rFonts w:eastAsia="SimSun"/>
                <w:sz w:val="20"/>
                <w:szCs w:val="20"/>
                <w:lang w:eastAsia="zh-CN"/>
              </w:rPr>
              <w:t>Невідведення</w:t>
            </w:r>
            <w:proofErr w:type="spellEnd"/>
            <w:r w:rsidRPr="00F33433">
              <w:rPr>
                <w:rFonts w:eastAsia="SimSun"/>
                <w:sz w:val="20"/>
                <w:szCs w:val="20"/>
                <w:lang w:eastAsia="zh-CN"/>
              </w:rPr>
              <w:t xml:space="preserve"> у споруді або окремих приміщеннях спеціальних </w:t>
            </w:r>
            <w:r w:rsidRPr="00F33433">
              <w:rPr>
                <w:rFonts w:eastAsia="SimSun"/>
                <w:sz w:val="20"/>
                <w:szCs w:val="20"/>
                <w:lang w:eastAsia="zh-CN"/>
              </w:rPr>
              <w:lastRenderedPageBreak/>
              <w:t xml:space="preserve">місць для куріння або </w:t>
            </w:r>
            <w:proofErr w:type="spellStart"/>
            <w:r w:rsidRPr="00F33433">
              <w:rPr>
                <w:rFonts w:eastAsia="SimSun"/>
                <w:sz w:val="20"/>
                <w:szCs w:val="20"/>
                <w:lang w:eastAsia="zh-CN"/>
              </w:rPr>
              <w:t>необладнання</w:t>
            </w:r>
            <w:proofErr w:type="spellEnd"/>
            <w:r w:rsidRPr="00F33433">
              <w:rPr>
                <w:rFonts w:eastAsia="SimSun"/>
                <w:sz w:val="20"/>
                <w:szCs w:val="20"/>
                <w:lang w:eastAsia="zh-CN"/>
              </w:rPr>
              <w:t xml:space="preserve"> таких місць витяжною вентиляцією та нерозміщення в них наочної інформації «Місце для куріння. Куріння шкодить Вашому здоров’ю!» з відповідним графічним знаком </w:t>
            </w:r>
          </w:p>
        </w:tc>
        <w:tc>
          <w:tcPr>
            <w:tcW w:w="1238" w:type="dxa"/>
            <w:shd w:val="clear" w:color="auto" w:fill="auto"/>
          </w:tcPr>
          <w:p w:rsidR="008731A7" w:rsidRPr="00F33433" w:rsidRDefault="008731A7" w:rsidP="008731A7">
            <w:pPr>
              <w:ind w:right="165"/>
              <w:rPr>
                <w:rFonts w:eastAsia="SimSun"/>
                <w:b/>
                <w:color w:val="FF0000"/>
                <w:sz w:val="20"/>
                <w:szCs w:val="20"/>
                <w:lang w:eastAsia="zh-CN"/>
              </w:rPr>
            </w:pPr>
            <w:r w:rsidRPr="00F33433">
              <w:rPr>
                <w:rFonts w:eastAsia="SimSun"/>
                <w:sz w:val="20"/>
                <w:szCs w:val="20"/>
                <w:lang w:eastAsia="zh-CN"/>
              </w:rPr>
              <w:lastRenderedPageBreak/>
              <w:t xml:space="preserve">Шкода здоров’ю людини внаслідок активного </w:t>
            </w:r>
            <w:r w:rsidRPr="00F33433">
              <w:rPr>
                <w:rFonts w:eastAsia="SimSun"/>
                <w:sz w:val="20"/>
                <w:szCs w:val="20"/>
                <w:lang w:eastAsia="zh-CN"/>
              </w:rPr>
              <w:lastRenderedPageBreak/>
              <w:t>або пасивного куріння</w:t>
            </w:r>
          </w:p>
        </w:tc>
        <w:tc>
          <w:tcPr>
            <w:tcW w:w="1241" w:type="dxa"/>
            <w:shd w:val="clear" w:color="auto" w:fill="auto"/>
          </w:tcPr>
          <w:p w:rsidR="008731A7" w:rsidRPr="00F33433" w:rsidRDefault="008731A7" w:rsidP="008731A7">
            <w:pPr>
              <w:jc w:val="center"/>
              <w:rPr>
                <w:rFonts w:eastAsia="SimSun"/>
                <w:color w:val="FF0000"/>
                <w:sz w:val="20"/>
                <w:szCs w:val="20"/>
                <w:lang w:eastAsia="zh-CN"/>
              </w:rPr>
            </w:pPr>
            <w:r w:rsidRPr="00F33433">
              <w:rPr>
                <w:rFonts w:eastAsia="SimSun"/>
                <w:sz w:val="20"/>
                <w:szCs w:val="20"/>
                <w:lang w:eastAsia="zh-CN"/>
              </w:rPr>
              <w:lastRenderedPageBreak/>
              <w:t>3</w:t>
            </w:r>
          </w:p>
        </w:tc>
        <w:tc>
          <w:tcPr>
            <w:tcW w:w="1504" w:type="dxa"/>
            <w:shd w:val="clear" w:color="auto" w:fill="auto"/>
          </w:tcPr>
          <w:p w:rsidR="008731A7" w:rsidRPr="00F33433" w:rsidRDefault="008731A7" w:rsidP="008731A7">
            <w:pPr>
              <w:ind w:right="137"/>
              <w:rPr>
                <w:rFonts w:eastAsia="SimSun"/>
                <w:b/>
                <w:color w:val="FF0000"/>
                <w:sz w:val="20"/>
                <w:szCs w:val="20"/>
                <w:lang w:eastAsia="zh-CN"/>
              </w:rPr>
            </w:pPr>
            <w:r w:rsidRPr="00F33433">
              <w:rPr>
                <w:rFonts w:eastAsia="SimSun"/>
                <w:sz w:val="20"/>
                <w:szCs w:val="20"/>
                <w:lang w:eastAsia="zh-CN"/>
              </w:rPr>
              <w:t xml:space="preserve">Суб’єктом господарювання відведено у споруді або окремих </w:t>
            </w:r>
            <w:r w:rsidRPr="00F33433">
              <w:rPr>
                <w:rFonts w:eastAsia="SimSun"/>
                <w:sz w:val="20"/>
                <w:szCs w:val="20"/>
                <w:lang w:eastAsia="zh-CN"/>
              </w:rPr>
              <w:lastRenderedPageBreak/>
              <w:t>приміщеннях спеціальні місця для куріння і обладнано такі місця витяжною вентиляцією та  розміщено в них наочну інформацію «Місце для куріння. Куріння шкодить Вашому здоров’ю!» з відповідним графічним знаком</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r w:rsidR="008731A7" w:rsidRPr="00681B30" w:rsidTr="008F345A">
        <w:tc>
          <w:tcPr>
            <w:tcW w:w="704" w:type="dxa"/>
          </w:tcPr>
          <w:p w:rsidR="008731A7" w:rsidRPr="008731A7" w:rsidRDefault="008731A7" w:rsidP="008731A7">
            <w:pPr>
              <w:jc w:val="center"/>
              <w:rPr>
                <w:rFonts w:cs="Times New Roman"/>
                <w:sz w:val="20"/>
                <w:szCs w:val="20"/>
              </w:rPr>
            </w:pPr>
            <w:r w:rsidRPr="008731A7">
              <w:rPr>
                <w:rFonts w:cs="Times New Roman"/>
                <w:sz w:val="20"/>
                <w:szCs w:val="20"/>
              </w:rPr>
              <w:t>1</w:t>
            </w:r>
            <w:r>
              <w:rPr>
                <w:rFonts w:cs="Times New Roman"/>
                <w:sz w:val="20"/>
                <w:szCs w:val="20"/>
              </w:rPr>
              <w:t>2</w:t>
            </w:r>
          </w:p>
        </w:tc>
        <w:tc>
          <w:tcPr>
            <w:tcW w:w="2842" w:type="dxa"/>
          </w:tcPr>
          <w:p w:rsidR="008731A7" w:rsidRPr="008731A7" w:rsidRDefault="008731A7" w:rsidP="008F345A">
            <w:pPr>
              <w:ind w:left="-112" w:right="92"/>
              <w:rPr>
                <w:rFonts w:cs="Times New Roman"/>
                <w:sz w:val="20"/>
                <w:szCs w:val="20"/>
              </w:rPr>
            </w:pPr>
            <w:r w:rsidRPr="008731A7">
              <w:rPr>
                <w:rFonts w:cs="Times New Roman"/>
                <w:sz w:val="20"/>
                <w:szCs w:val="20"/>
              </w:rPr>
              <w:t>Забороняються будь-яка реклама та стимулювання продажу тютюнових виробів, знаків для товарів і послуг, інших об'єктів права інтелектуальної власності, під якими випускаються тютюнові вироби, в тому числі:</w:t>
            </w:r>
          </w:p>
          <w:p w:rsidR="008731A7" w:rsidRPr="008731A7" w:rsidRDefault="008731A7" w:rsidP="008F345A">
            <w:pPr>
              <w:ind w:left="-108" w:right="92"/>
              <w:rPr>
                <w:rFonts w:cs="Times New Roman"/>
                <w:sz w:val="20"/>
                <w:szCs w:val="20"/>
              </w:rPr>
            </w:pPr>
            <w:r w:rsidRPr="008731A7">
              <w:rPr>
                <w:rFonts w:cs="Times New Roman"/>
                <w:sz w:val="20"/>
                <w:szCs w:val="20"/>
              </w:rPr>
              <w:t xml:space="preserve">проведення заходів з безоплатної роздачі, у тому числі для маркетингових досліджень та дегустації, обміну </w:t>
            </w:r>
            <w:r w:rsidRPr="008731A7">
              <w:rPr>
                <w:rFonts w:cs="Times New Roman"/>
                <w:sz w:val="20"/>
                <w:szCs w:val="20"/>
              </w:rPr>
              <w:lastRenderedPageBreak/>
              <w:t>тютюнових виробів на тютюнові вироби чи будь-які інші товари, роботи, послуги;</w:t>
            </w:r>
          </w:p>
          <w:p w:rsidR="008731A7" w:rsidRPr="008731A7" w:rsidRDefault="008731A7" w:rsidP="008F345A">
            <w:pPr>
              <w:ind w:left="-108" w:right="92"/>
              <w:rPr>
                <w:rFonts w:cs="Times New Roman"/>
                <w:sz w:val="20"/>
                <w:szCs w:val="20"/>
              </w:rPr>
            </w:pPr>
            <w:r w:rsidRPr="008731A7">
              <w:rPr>
                <w:rFonts w:cs="Times New Roman"/>
                <w:sz w:val="20"/>
                <w:szCs w:val="20"/>
              </w:rPr>
              <w:t>використання тютюнових виробів з метою отримання товарів, робіт, послуг; пропонування або надання будь-якого прямого чи непрямого відшкодування на придбання або використання тютюнових виробів;</w:t>
            </w:r>
          </w:p>
          <w:p w:rsidR="008731A7" w:rsidRPr="008731A7" w:rsidRDefault="008731A7" w:rsidP="008F345A">
            <w:pPr>
              <w:ind w:right="92" w:firstLine="30"/>
              <w:rPr>
                <w:rFonts w:cs="Times New Roman"/>
                <w:sz w:val="20"/>
                <w:szCs w:val="20"/>
              </w:rPr>
            </w:pPr>
          </w:p>
          <w:p w:rsidR="008731A7" w:rsidRPr="008731A7" w:rsidRDefault="008731A7" w:rsidP="008F345A">
            <w:pPr>
              <w:ind w:left="-108" w:right="92" w:firstLine="30"/>
              <w:rPr>
                <w:rFonts w:cs="Times New Roman"/>
                <w:sz w:val="20"/>
                <w:szCs w:val="20"/>
              </w:rPr>
            </w:pPr>
            <w:r w:rsidRPr="008731A7">
              <w:rPr>
                <w:rFonts w:cs="Times New Roman"/>
                <w:sz w:val="20"/>
                <w:szCs w:val="20"/>
              </w:rPr>
              <w:t>пропонування або надання бонусів, премій, повернення готівкових коштів, права на участь у будь-якій грі, лотереї, конкурсі, події, прямо або опосередковано пов'язаних з тютюновими виробами, або якщо умовою надання, або участі в яких, є придбання або вживання тютюнових виробів;</w:t>
            </w:r>
          </w:p>
          <w:p w:rsidR="008731A7" w:rsidRPr="008731A7" w:rsidRDefault="008731A7" w:rsidP="008F345A">
            <w:pPr>
              <w:ind w:left="-108" w:right="92" w:firstLine="30"/>
              <w:rPr>
                <w:rFonts w:cs="Times New Roman"/>
                <w:sz w:val="20"/>
                <w:szCs w:val="20"/>
              </w:rPr>
            </w:pPr>
            <w:r w:rsidRPr="008731A7">
              <w:rPr>
                <w:rFonts w:cs="Times New Roman"/>
                <w:sz w:val="20"/>
                <w:szCs w:val="20"/>
              </w:rPr>
              <w:t>продаж тютюнових виробів у наборі з будь-якими іншими товарами або послугами;</w:t>
            </w:r>
          </w:p>
          <w:p w:rsidR="008731A7" w:rsidRPr="008731A7" w:rsidRDefault="008731A7" w:rsidP="008F345A">
            <w:pPr>
              <w:ind w:left="-108" w:right="92" w:firstLine="30"/>
              <w:rPr>
                <w:rFonts w:cs="Times New Roman"/>
                <w:sz w:val="20"/>
                <w:szCs w:val="20"/>
              </w:rPr>
            </w:pPr>
            <w:r w:rsidRPr="008731A7">
              <w:rPr>
                <w:rFonts w:cs="Times New Roman"/>
                <w:sz w:val="20"/>
                <w:szCs w:val="20"/>
              </w:rPr>
              <w:t>розміщення інформації про виробника тютюнових виробів та/або тютюнові вироби у місцях, де ці вироби реалізуються чи надаються споживачеві, у тому числі на елементах обладнання та/або оформлення місць торгівлі, за виключенням одного плаката розміром не більше 40х30 см на одне місце торгівлі, в якому надається текстова інформація про наявні в продажу тютюнові вироби та ціни на них;</w:t>
            </w:r>
          </w:p>
          <w:p w:rsidR="008731A7" w:rsidRPr="008731A7" w:rsidRDefault="008731A7" w:rsidP="008F345A">
            <w:pPr>
              <w:ind w:left="-108" w:right="92" w:firstLine="30"/>
              <w:rPr>
                <w:rFonts w:cs="Times New Roman"/>
                <w:sz w:val="20"/>
                <w:szCs w:val="20"/>
              </w:rPr>
            </w:pPr>
            <w:r w:rsidRPr="008731A7">
              <w:rPr>
                <w:rFonts w:cs="Times New Roman"/>
                <w:sz w:val="20"/>
                <w:szCs w:val="20"/>
              </w:rPr>
              <w:t xml:space="preserve">розміщення інформації з метою стимулювання продажу тютюну безпосередньо на тютюнових виробах та/або їх упаковці, у тому числі: малюнків та інших зображень, які не є частиною захищеної торгової марки; адрес </w:t>
            </w:r>
            <w:r w:rsidRPr="008731A7">
              <w:rPr>
                <w:rFonts w:cs="Times New Roman"/>
                <w:sz w:val="20"/>
                <w:szCs w:val="20"/>
              </w:rPr>
              <w:lastRenderedPageBreak/>
              <w:t>веб-сайтів, електронної пошти; вкладень до упаковки тютюнових виробів; текстової або графічної інформації на прозорій обгортці упаковки тютюнових виробів;</w:t>
            </w:r>
          </w:p>
          <w:p w:rsidR="008731A7" w:rsidRPr="008731A7" w:rsidRDefault="008731A7" w:rsidP="008F345A">
            <w:pPr>
              <w:ind w:left="-108" w:right="92" w:firstLine="30"/>
              <w:rPr>
                <w:rFonts w:cs="Times New Roman"/>
                <w:sz w:val="20"/>
                <w:szCs w:val="20"/>
              </w:rPr>
            </w:pPr>
            <w:r w:rsidRPr="008731A7">
              <w:rPr>
                <w:rFonts w:cs="Times New Roman"/>
                <w:sz w:val="20"/>
                <w:szCs w:val="20"/>
              </w:rPr>
              <w:t>розміщення інформації щодо тютюнових виробів, знаків для товарів і послуг, інших об'єктів права інтелектуальної власності, під якими випускаються тютюнові вироби, в місцях проведення розважальних заходів, в місцях роздрібної торгівлі, на автотранспортних засобах та обладнанні;</w:t>
            </w:r>
          </w:p>
          <w:p w:rsidR="008731A7" w:rsidRPr="008731A7" w:rsidRDefault="008731A7" w:rsidP="008F345A">
            <w:pPr>
              <w:ind w:left="-108" w:right="92" w:firstLine="30"/>
              <w:rPr>
                <w:rFonts w:cs="Times New Roman"/>
                <w:sz w:val="20"/>
                <w:szCs w:val="20"/>
              </w:rPr>
            </w:pPr>
            <w:r w:rsidRPr="008731A7">
              <w:rPr>
                <w:rFonts w:cs="Times New Roman"/>
                <w:sz w:val="20"/>
                <w:szCs w:val="20"/>
              </w:rPr>
              <w:t>надсилання повідомлень поштою, електронною поштою, повідомлень на мобільні телефони, поширення відеодисків, відеоматеріалів, компакт-дисків, комп'ютерних та інших ігор, розміщення інформації в мережі Інтернет з метою стимулювання продажу тютюнових виробів;</w:t>
            </w:r>
          </w:p>
          <w:p w:rsidR="008731A7" w:rsidRPr="008731A7" w:rsidRDefault="008731A7" w:rsidP="008F345A">
            <w:pPr>
              <w:ind w:left="-108" w:right="92" w:firstLine="30"/>
              <w:rPr>
                <w:rFonts w:cs="Times New Roman"/>
                <w:sz w:val="20"/>
                <w:szCs w:val="20"/>
              </w:rPr>
            </w:pPr>
            <w:r w:rsidRPr="008731A7">
              <w:rPr>
                <w:rFonts w:cs="Times New Roman"/>
                <w:sz w:val="20"/>
                <w:szCs w:val="20"/>
              </w:rPr>
              <w:t>продаж, пропонування для продажу, поставка чи реклама нетютюнових виробів, послуг, реклама або упаковка яких містить напис, малюнок чи будь-яке інше зображення, повідомлення, які повністю або в частині ідентифікуються чи асоціюються з тютюновим виробом, знаком для тютюнових товарів і послуг чи з виробником тютюнових виробів;</w:t>
            </w:r>
          </w:p>
          <w:p w:rsidR="008731A7" w:rsidRPr="008731A7" w:rsidRDefault="008731A7" w:rsidP="008F345A">
            <w:pPr>
              <w:ind w:left="-108" w:right="92" w:firstLine="30"/>
              <w:rPr>
                <w:rFonts w:cs="Times New Roman"/>
                <w:sz w:val="20"/>
                <w:szCs w:val="20"/>
              </w:rPr>
            </w:pPr>
            <w:r w:rsidRPr="008731A7">
              <w:rPr>
                <w:rFonts w:cs="Times New Roman"/>
                <w:sz w:val="20"/>
                <w:szCs w:val="20"/>
              </w:rPr>
              <w:t>інші заходи прямого та непрямого стимулювання продажу тютюнових виробів та вживання тютюну.</w:t>
            </w:r>
          </w:p>
          <w:p w:rsidR="008731A7" w:rsidRPr="008731A7" w:rsidRDefault="008731A7" w:rsidP="008F345A">
            <w:pPr>
              <w:ind w:left="-108" w:right="92" w:firstLine="30"/>
              <w:rPr>
                <w:rFonts w:cs="Times New Roman"/>
                <w:sz w:val="20"/>
                <w:szCs w:val="20"/>
              </w:rPr>
            </w:pPr>
            <w:r w:rsidRPr="008731A7">
              <w:rPr>
                <w:rFonts w:cs="Times New Roman"/>
                <w:sz w:val="20"/>
                <w:szCs w:val="20"/>
              </w:rPr>
              <w:t>Забороняється спонсорство тютюну, в тому числі:</w:t>
            </w:r>
          </w:p>
          <w:p w:rsidR="008731A7" w:rsidRPr="008731A7" w:rsidRDefault="008731A7" w:rsidP="008F345A">
            <w:pPr>
              <w:ind w:left="-108" w:right="92" w:firstLine="30"/>
              <w:rPr>
                <w:rFonts w:cs="Times New Roman"/>
                <w:sz w:val="20"/>
                <w:szCs w:val="20"/>
              </w:rPr>
            </w:pPr>
            <w:r w:rsidRPr="008731A7">
              <w:rPr>
                <w:rFonts w:cs="Times New Roman"/>
                <w:sz w:val="20"/>
                <w:szCs w:val="20"/>
              </w:rPr>
              <w:lastRenderedPageBreak/>
              <w:t>спонсорство телепередач, радіопередач, театрально-концертних, спортивних та інших заходів, програм чи окремих осіб або спонсорство з використанням знаків для товарів і послуг, інших об'єктів права інтелектуальної власності, під якими випускаються тютюнові вироби;</w:t>
            </w:r>
          </w:p>
          <w:p w:rsidR="008731A7" w:rsidRPr="008731A7" w:rsidRDefault="008731A7" w:rsidP="008F345A">
            <w:pPr>
              <w:ind w:left="-108" w:right="92" w:firstLine="30"/>
              <w:rPr>
                <w:rFonts w:cs="Times New Roman"/>
                <w:sz w:val="20"/>
                <w:szCs w:val="20"/>
              </w:rPr>
            </w:pPr>
            <w:r w:rsidRPr="008731A7">
              <w:rPr>
                <w:rFonts w:cs="Times New Roman"/>
                <w:sz w:val="20"/>
                <w:szCs w:val="20"/>
              </w:rPr>
              <w:t>надання виробниками тютюнових виробів або пов'язаними з ними організаціями фінансової або іншої підтримки заходам, діяльності, окремим особам або групам, в тому числі політичним партіям або діячам, спортсменам або спортивним командам, артистам або артистичним групам, навчальним закладам усіх форм власності;</w:t>
            </w:r>
          </w:p>
          <w:p w:rsidR="008731A7" w:rsidRPr="008731A7" w:rsidRDefault="008731A7" w:rsidP="008F345A">
            <w:pPr>
              <w:ind w:left="-108" w:right="92" w:firstLine="30"/>
              <w:rPr>
                <w:rFonts w:cs="Times New Roman"/>
                <w:sz w:val="20"/>
                <w:szCs w:val="20"/>
              </w:rPr>
            </w:pPr>
            <w:r w:rsidRPr="008731A7">
              <w:rPr>
                <w:rFonts w:cs="Times New Roman"/>
                <w:sz w:val="20"/>
                <w:szCs w:val="20"/>
              </w:rPr>
              <w:t>проведення інформаційних кампаній та заходів для населення, в тому числі з метою профілактики куріння серед молоді, за прямої або опосередкованої фінансової підтримки виробників тютюнових виробів або пов'язаних з ними організацій.</w:t>
            </w:r>
          </w:p>
        </w:tc>
        <w:tc>
          <w:tcPr>
            <w:tcW w:w="1634" w:type="dxa"/>
            <w:shd w:val="clear" w:color="auto" w:fill="auto"/>
          </w:tcPr>
          <w:p w:rsidR="008731A7" w:rsidRPr="00F33433" w:rsidRDefault="008731A7" w:rsidP="008731A7">
            <w:pPr>
              <w:ind w:left="83" w:right="173"/>
              <w:rPr>
                <w:rFonts w:eastAsia="SimSun"/>
                <w:sz w:val="20"/>
                <w:szCs w:val="20"/>
                <w:lang w:eastAsia="zh-CN"/>
              </w:rPr>
            </w:pPr>
            <w:r w:rsidRPr="00F33433">
              <w:rPr>
                <w:rFonts w:eastAsia="SimSun"/>
                <w:sz w:val="20"/>
                <w:szCs w:val="20"/>
                <w:lang w:eastAsia="zh-CN"/>
              </w:rPr>
              <w:lastRenderedPageBreak/>
              <w:t>Стаття 16 ЗУ № 2899-IV</w:t>
            </w:r>
          </w:p>
        </w:tc>
        <w:tc>
          <w:tcPr>
            <w:tcW w:w="1691" w:type="dxa"/>
            <w:shd w:val="clear" w:color="auto" w:fill="auto"/>
          </w:tcPr>
          <w:p w:rsidR="008731A7" w:rsidRPr="00F33433" w:rsidRDefault="008731A7" w:rsidP="008731A7">
            <w:pPr>
              <w:ind w:left="74" w:right="175"/>
              <w:rPr>
                <w:rFonts w:eastAsia="SimSun"/>
                <w:b/>
                <w:sz w:val="20"/>
                <w:szCs w:val="20"/>
                <w:lang w:eastAsia="zh-CN"/>
              </w:rPr>
            </w:pPr>
            <w:r w:rsidRPr="00F33433">
              <w:rPr>
                <w:rFonts w:eastAsia="SimSun"/>
                <w:sz w:val="20"/>
                <w:szCs w:val="20"/>
                <w:lang w:eastAsia="zh-CN"/>
              </w:rPr>
              <w:t>Обіг та споживання тютюнових виробів</w:t>
            </w:r>
          </w:p>
        </w:tc>
        <w:tc>
          <w:tcPr>
            <w:tcW w:w="1071" w:type="dxa"/>
            <w:shd w:val="clear" w:color="auto" w:fill="auto"/>
          </w:tcPr>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46.17,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46.35,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47.11,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 xml:space="preserve">47.26 </w:t>
            </w:r>
          </w:p>
          <w:p w:rsidR="008731A7" w:rsidRPr="00F33433" w:rsidRDefault="008731A7" w:rsidP="008F345A">
            <w:pPr>
              <w:tabs>
                <w:tab w:val="left" w:pos="739"/>
              </w:tabs>
              <w:ind w:left="30"/>
              <w:jc w:val="center"/>
              <w:rPr>
                <w:rFonts w:eastAsia="SimSun"/>
                <w:sz w:val="20"/>
                <w:szCs w:val="20"/>
                <w:lang w:eastAsia="zh-CN"/>
              </w:rPr>
            </w:pPr>
            <w:r w:rsidRPr="00F33433">
              <w:rPr>
                <w:rFonts w:eastAsia="SimSun"/>
                <w:sz w:val="20"/>
                <w:szCs w:val="20"/>
                <w:lang w:eastAsia="zh-CN"/>
              </w:rPr>
              <w:t>73.1</w:t>
            </w:r>
          </w:p>
        </w:tc>
        <w:tc>
          <w:tcPr>
            <w:tcW w:w="1233" w:type="dxa"/>
            <w:shd w:val="clear" w:color="auto" w:fill="auto"/>
          </w:tcPr>
          <w:p w:rsidR="008731A7" w:rsidRPr="00F33433" w:rsidRDefault="008731A7" w:rsidP="008731A7">
            <w:pPr>
              <w:jc w:val="center"/>
              <w:rPr>
                <w:rFonts w:eastAsia="SimSun"/>
                <w:b/>
                <w:sz w:val="20"/>
                <w:szCs w:val="20"/>
                <w:lang w:eastAsia="zh-CN"/>
              </w:rPr>
            </w:pPr>
            <w:r w:rsidRPr="00F33433">
              <w:rPr>
                <w:rFonts w:eastAsia="SimSun"/>
                <w:sz w:val="20"/>
                <w:szCs w:val="20"/>
                <w:lang w:eastAsia="zh-CN"/>
              </w:rPr>
              <w:t>01</w:t>
            </w:r>
          </w:p>
        </w:tc>
        <w:tc>
          <w:tcPr>
            <w:tcW w:w="1671" w:type="dxa"/>
            <w:shd w:val="clear" w:color="auto" w:fill="auto"/>
          </w:tcPr>
          <w:p w:rsidR="008731A7" w:rsidRPr="00F33433" w:rsidRDefault="008731A7" w:rsidP="008731A7">
            <w:pPr>
              <w:ind w:right="165"/>
              <w:rPr>
                <w:rFonts w:eastAsia="SimSun"/>
                <w:sz w:val="20"/>
                <w:szCs w:val="20"/>
                <w:lang w:eastAsia="zh-CN"/>
              </w:rPr>
            </w:pPr>
            <w:r w:rsidRPr="00F33433">
              <w:rPr>
                <w:rFonts w:eastAsia="SimSun"/>
                <w:sz w:val="20"/>
                <w:szCs w:val="20"/>
                <w:lang w:eastAsia="zh-CN"/>
              </w:rPr>
              <w:t>Рекламування, стимулювання продажу та спонсорство тютюнових виробів</w:t>
            </w:r>
          </w:p>
        </w:tc>
        <w:tc>
          <w:tcPr>
            <w:tcW w:w="1238" w:type="dxa"/>
            <w:shd w:val="clear" w:color="auto" w:fill="auto"/>
          </w:tcPr>
          <w:p w:rsidR="008731A7" w:rsidRPr="00F33433" w:rsidRDefault="008731A7" w:rsidP="008731A7">
            <w:pPr>
              <w:ind w:right="165"/>
              <w:rPr>
                <w:rFonts w:eastAsia="SimSun"/>
                <w:b/>
                <w:sz w:val="20"/>
                <w:szCs w:val="20"/>
                <w:lang w:eastAsia="zh-CN"/>
              </w:rPr>
            </w:pPr>
            <w:r w:rsidRPr="00F33433">
              <w:rPr>
                <w:rFonts w:eastAsia="SimSun"/>
                <w:sz w:val="20"/>
                <w:szCs w:val="20"/>
                <w:lang w:eastAsia="zh-CN"/>
              </w:rPr>
              <w:t>Шкода здоров’ю людини внаслідок активного або пасивного куріння</w:t>
            </w:r>
          </w:p>
        </w:tc>
        <w:tc>
          <w:tcPr>
            <w:tcW w:w="1241" w:type="dxa"/>
            <w:shd w:val="clear" w:color="auto" w:fill="auto"/>
          </w:tcPr>
          <w:p w:rsidR="008731A7" w:rsidRPr="00F33433" w:rsidRDefault="008731A7" w:rsidP="008731A7">
            <w:pPr>
              <w:jc w:val="center"/>
              <w:rPr>
                <w:rFonts w:eastAsia="SimSun"/>
                <w:sz w:val="20"/>
                <w:szCs w:val="20"/>
                <w:lang w:eastAsia="zh-CN"/>
              </w:rPr>
            </w:pPr>
            <w:r w:rsidRPr="00F33433">
              <w:rPr>
                <w:rFonts w:eastAsia="SimSun"/>
                <w:sz w:val="20"/>
                <w:szCs w:val="20"/>
                <w:lang w:eastAsia="zh-CN"/>
              </w:rPr>
              <w:t>3</w:t>
            </w:r>
          </w:p>
        </w:tc>
        <w:tc>
          <w:tcPr>
            <w:tcW w:w="1504" w:type="dxa"/>
            <w:shd w:val="clear" w:color="auto" w:fill="auto"/>
          </w:tcPr>
          <w:p w:rsidR="008731A7" w:rsidRPr="00F33433" w:rsidRDefault="008731A7" w:rsidP="008731A7">
            <w:pPr>
              <w:ind w:right="137"/>
              <w:rPr>
                <w:rFonts w:eastAsia="SimSun"/>
                <w:b/>
                <w:sz w:val="20"/>
                <w:szCs w:val="20"/>
                <w:lang w:eastAsia="zh-CN"/>
              </w:rPr>
            </w:pPr>
            <w:r w:rsidRPr="00F33433">
              <w:rPr>
                <w:rFonts w:eastAsia="SimSun"/>
                <w:sz w:val="20"/>
                <w:szCs w:val="20"/>
                <w:lang w:eastAsia="zh-CN"/>
              </w:rPr>
              <w:t>Заборона реклами, стимулювання продажу та спонсорства тютюнових виробів виконується</w:t>
            </w:r>
          </w:p>
        </w:tc>
        <w:tc>
          <w:tcPr>
            <w:tcW w:w="924" w:type="dxa"/>
            <w:shd w:val="clear" w:color="auto" w:fill="auto"/>
          </w:tcPr>
          <w:p w:rsidR="008731A7" w:rsidRPr="001125CF" w:rsidRDefault="008731A7" w:rsidP="008731A7">
            <w:pPr>
              <w:ind w:left="93" w:hanging="235"/>
              <w:rPr>
                <w:rFonts w:eastAsia="SimSun"/>
                <w:b/>
                <w:sz w:val="24"/>
                <w:szCs w:val="24"/>
                <w:lang w:eastAsia="zh-CN"/>
              </w:rPr>
            </w:pPr>
          </w:p>
        </w:tc>
      </w:tr>
    </w:tbl>
    <w:p w:rsidR="00681B30" w:rsidRPr="00681B30" w:rsidRDefault="00681B30" w:rsidP="003A7A48">
      <w:pPr>
        <w:rPr>
          <w:b/>
          <w:bCs/>
        </w:rPr>
      </w:pPr>
      <w:bookmarkStart w:id="2" w:name="_GoBack"/>
      <w:bookmarkEnd w:id="2"/>
    </w:p>
    <w:sectPr w:rsidR="00681B30" w:rsidRPr="00681B30" w:rsidSect="00681B30">
      <w:pgSz w:w="16838" w:h="11906" w:orient="landscape" w:code="9"/>
      <w:pgMar w:top="567" w:right="1134" w:bottom="567"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73"/>
    <w:rsid w:val="000B6370"/>
    <w:rsid w:val="00121DF5"/>
    <w:rsid w:val="001B2972"/>
    <w:rsid w:val="002D748B"/>
    <w:rsid w:val="003139C4"/>
    <w:rsid w:val="003630EA"/>
    <w:rsid w:val="00375016"/>
    <w:rsid w:val="003A7A48"/>
    <w:rsid w:val="004D7CA0"/>
    <w:rsid w:val="005115FA"/>
    <w:rsid w:val="0054455F"/>
    <w:rsid w:val="00642657"/>
    <w:rsid w:val="00681B30"/>
    <w:rsid w:val="007F4B73"/>
    <w:rsid w:val="008731A7"/>
    <w:rsid w:val="008F345A"/>
    <w:rsid w:val="00962F25"/>
    <w:rsid w:val="00A21293"/>
    <w:rsid w:val="00D671C9"/>
    <w:rsid w:val="00D931F6"/>
    <w:rsid w:val="00E02B7E"/>
    <w:rsid w:val="00F33433"/>
    <w:rsid w:val="00F4702B"/>
    <w:rsid w:val="00F84D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D7BF4-1826-490C-83C3-E4B05EDB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55F"/>
    <w:rPr>
      <w:rFonts w:ascii="Segoe UI" w:hAnsi="Segoe UI" w:cs="Segoe UI"/>
      <w:sz w:val="18"/>
      <w:szCs w:val="18"/>
    </w:rPr>
  </w:style>
  <w:style w:type="character" w:customStyle="1" w:styleId="a4">
    <w:name w:val="Текст выноски Знак"/>
    <w:basedOn w:val="a0"/>
    <w:link w:val="a3"/>
    <w:uiPriority w:val="99"/>
    <w:semiHidden/>
    <w:rsid w:val="00544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15822</Words>
  <Characters>9020</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7</cp:revision>
  <cp:lastPrinted>2020-01-17T13:07:00Z</cp:lastPrinted>
  <dcterms:created xsi:type="dcterms:W3CDTF">2020-01-17T13:02:00Z</dcterms:created>
  <dcterms:modified xsi:type="dcterms:W3CDTF">2020-01-28T09:05:00Z</dcterms:modified>
</cp:coreProperties>
</file>