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A2A48A" w14:textId="77777777" w:rsidR="006F713E" w:rsidRPr="00B64541" w:rsidRDefault="006F713E">
      <w:pPr>
        <w:spacing w:after="0" w:line="240" w:lineRule="auto"/>
        <w:jc w:val="center"/>
        <w:rPr>
          <w:bCs/>
        </w:rPr>
      </w:pPr>
      <w:r w:rsidRPr="00B64541">
        <w:rPr>
          <w:rFonts w:ascii="Times New Roman" w:hAnsi="Times New Roman"/>
          <w:bCs/>
          <w:sz w:val="28"/>
          <w:szCs w:val="28"/>
        </w:rPr>
        <w:t xml:space="preserve">Обґрунтування </w:t>
      </w:r>
    </w:p>
    <w:p w14:paraId="737FF88F" w14:textId="48539451" w:rsidR="006F713E" w:rsidRDefault="006F713E" w:rsidP="00C006B2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64541">
        <w:rPr>
          <w:rFonts w:ascii="Times New Roman" w:hAnsi="Times New Roman"/>
          <w:bCs/>
          <w:sz w:val="28"/>
          <w:szCs w:val="28"/>
        </w:rPr>
        <w:t>технічних та якісних характеристик предмета закупівлі, розміру бюджетного призначення, очікуваної вартості предмета закупівлі</w:t>
      </w:r>
    </w:p>
    <w:p w14:paraId="13DDB4E2" w14:textId="77777777" w:rsidR="00C006B2" w:rsidRPr="00C006B2" w:rsidRDefault="00C006B2" w:rsidP="00C006B2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14:paraId="0F6F8568" w14:textId="77777777" w:rsidR="006F713E" w:rsidRPr="00B64541" w:rsidRDefault="006F713E">
      <w:pPr>
        <w:spacing w:after="120" w:line="240" w:lineRule="auto"/>
        <w:contextualSpacing/>
        <w:jc w:val="center"/>
        <w:rPr>
          <w:sz w:val="24"/>
          <w:szCs w:val="24"/>
        </w:rPr>
      </w:pPr>
      <w:r w:rsidRPr="00B64541">
        <w:rPr>
          <w:rFonts w:ascii="Times New Roman" w:hAnsi="Times New Roman"/>
          <w:sz w:val="24"/>
          <w:szCs w:val="24"/>
        </w:rPr>
        <w:t>(відповідно до пункту 4</w:t>
      </w:r>
      <w:r w:rsidRPr="00B64541">
        <w:rPr>
          <w:rFonts w:ascii="Times New Roman" w:hAnsi="Times New Roman"/>
          <w:sz w:val="24"/>
          <w:szCs w:val="24"/>
          <w:vertAlign w:val="superscript"/>
        </w:rPr>
        <w:t xml:space="preserve">1 </w:t>
      </w:r>
      <w:r w:rsidRPr="00B64541">
        <w:rPr>
          <w:rFonts w:ascii="Times New Roman" w:hAnsi="Times New Roman"/>
          <w:sz w:val="24"/>
          <w:szCs w:val="24"/>
        </w:rPr>
        <w:t>постанови КМУ від 11.10.2016 № 710 «Про ефективне використання державних коштів» (зі змінами))</w:t>
      </w:r>
    </w:p>
    <w:p w14:paraId="445D9935" w14:textId="77777777" w:rsidR="006F713E" w:rsidRDefault="006F713E">
      <w:pPr>
        <w:spacing w:after="12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14:paraId="45FBC87B" w14:textId="1C96CFC1" w:rsidR="008F5EDA" w:rsidRPr="008F5EDA" w:rsidRDefault="008F5EDA" w:rsidP="008F5EDA">
      <w:pPr>
        <w:spacing w:after="120" w:line="240" w:lineRule="auto"/>
        <w:contextualSpacing/>
        <w:jc w:val="center"/>
        <w:rPr>
          <w:rFonts w:ascii="Times New Roman" w:hAnsi="Times New Roman"/>
          <w:b/>
          <w:bCs/>
          <w:sz w:val="24"/>
          <w:szCs w:val="24"/>
        </w:rPr>
      </w:pPr>
      <w:hyperlink r:id="rId7" w:history="1"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 xml:space="preserve">Вакцина </w:t>
        </w:r>
        <w:proofErr w:type="spellStart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антирабічна</w:t>
        </w:r>
        <w:proofErr w:type="spellEnd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 xml:space="preserve"> для пероральної імунізації м’ясоїдних тварин проти сказу. ДК 021:2015 33650000-1 - Загальні </w:t>
        </w:r>
        <w:proofErr w:type="spellStart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протиінфекційні</w:t>
        </w:r>
        <w:proofErr w:type="spellEnd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 xml:space="preserve"> засоби для системного застосування, вакцини, </w:t>
        </w:r>
        <w:proofErr w:type="spellStart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антинеопластичні</w:t>
        </w:r>
        <w:proofErr w:type="spellEnd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 xml:space="preserve"> засоби та </w:t>
        </w:r>
        <w:proofErr w:type="spellStart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імуномодулятори</w:t>
        </w:r>
        <w:proofErr w:type="spellEnd"/>
        <w:r w:rsidRPr="008F5EDA">
          <w:rPr>
            <w:rStyle w:val="af3"/>
            <w:rFonts w:ascii="Times New Roman" w:hAnsi="Times New Roman"/>
            <w:b/>
            <w:bCs/>
            <w:color w:val="auto"/>
            <w:sz w:val="24"/>
            <w:szCs w:val="24"/>
            <w:u w:val="none"/>
          </w:rPr>
          <w:t>.</w:t>
        </w:r>
      </w:hyperlink>
    </w:p>
    <w:p w14:paraId="065FBA36" w14:textId="60ACE458" w:rsidR="008F5EDA" w:rsidRDefault="008F5EDA" w:rsidP="008F5EDA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  <w:hyperlink r:id="rId8" w:history="1">
        <w:r w:rsidRPr="008F5EDA">
          <w:rPr>
            <w:rStyle w:val="af3"/>
            <w:rFonts w:ascii="Times New Roman" w:hAnsi="Times New Roman"/>
            <w:sz w:val="24"/>
            <w:szCs w:val="24"/>
          </w:rPr>
          <w:t>https://prozorro.gov.ua/tender/UA-2025-03-25-006385-a</w:t>
        </w:r>
      </w:hyperlink>
    </w:p>
    <w:p w14:paraId="7DD86884" w14:textId="77777777" w:rsidR="008F5EDA" w:rsidRPr="008F5EDA" w:rsidRDefault="008F5EDA" w:rsidP="008F5EDA">
      <w:pPr>
        <w:spacing w:after="120" w:line="240" w:lineRule="auto"/>
        <w:contextualSpacing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87" w:type="dxa"/>
        <w:tblLayout w:type="fixed"/>
        <w:tblLook w:val="0000" w:firstRow="0" w:lastRow="0" w:firstColumn="0" w:lastColumn="0" w:noHBand="0" w:noVBand="0"/>
      </w:tblPr>
      <w:tblGrid>
        <w:gridCol w:w="450"/>
        <w:gridCol w:w="2655"/>
        <w:gridCol w:w="6586"/>
      </w:tblGrid>
      <w:tr w:rsidR="006F713E" w14:paraId="5701B800" w14:textId="77777777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5CB6975" w14:textId="77777777" w:rsidR="006F713E" w:rsidRDefault="006F713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999A39" w14:textId="77777777" w:rsidR="006F713E" w:rsidRDefault="006F713E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6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E6C0D" w14:textId="77777777" w:rsidR="001915BB" w:rsidRPr="001915BB" w:rsidRDefault="001915BB" w:rsidP="00B64541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Вакцина призначена для профілактичної вакцинації м’ясоїдних тварин проти сказу.</w:t>
            </w:r>
          </w:p>
          <w:p w14:paraId="56440590" w14:textId="77777777" w:rsidR="001915BB" w:rsidRPr="001915BB" w:rsidRDefault="001915BB" w:rsidP="00B64541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Одна доза – поживна принада в яку поміщений полімерний блістер з антигеном, що формує імунітет протягом 30 днів тривалістю не менше 1 року.</w:t>
            </w:r>
          </w:p>
          <w:p w14:paraId="0A965329" w14:textId="77777777" w:rsidR="001915BB" w:rsidRPr="001915BB" w:rsidRDefault="001915BB" w:rsidP="00B64541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Поживна принада повинна містити біологічний маркер (антибіотик тетрациклінового ряду).</w:t>
            </w:r>
          </w:p>
          <w:p w14:paraId="44010A4F" w14:textId="77777777" w:rsidR="001915BB" w:rsidRPr="001915BB" w:rsidRDefault="001915BB" w:rsidP="00B64541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Нешкідлива при введенні 10-кратної дози.</w:t>
            </w:r>
          </w:p>
          <w:p w14:paraId="76F55E4D" w14:textId="77777777" w:rsidR="001915BB" w:rsidRPr="001915BB" w:rsidRDefault="001915BB" w:rsidP="00B64541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Термін придатності препарату – не менше 12 місяців </w:t>
            </w:r>
          </w:p>
          <w:p w14:paraId="42872E22" w14:textId="164B9568" w:rsidR="006F713E" w:rsidRPr="008F5EDA" w:rsidRDefault="001915BB" w:rsidP="008F5EDA">
            <w:pPr>
              <w:shd w:val="clear" w:color="auto" w:fill="FFFFFF"/>
              <w:spacing w:after="0" w:line="240" w:lineRule="auto"/>
              <w:ind w:left="-75" w:firstLine="283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Температура зберігання відповідно до інструкції по застосуванню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6F713E" w14:paraId="008BD890" w14:textId="77777777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7FCB62F" w14:textId="77777777" w:rsidR="006F713E" w:rsidRDefault="006F713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E60F47" w14:textId="77777777" w:rsidR="006F713E" w:rsidRDefault="006F713E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розміру бюджетного призначення</w:t>
            </w:r>
          </w:p>
        </w:tc>
        <w:tc>
          <w:tcPr>
            <w:tcW w:w="6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E4E756" w14:textId="77777777" w:rsidR="006F713E" w:rsidRDefault="006F713E" w:rsidP="001915BB">
            <w:pPr>
              <w:shd w:val="clear" w:color="auto" w:fill="FFFFFF"/>
              <w:spacing w:after="0" w:line="240" w:lineRule="auto"/>
              <w:ind w:firstLine="352"/>
              <w:jc w:val="both"/>
              <w:textAlignment w:val="baseline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Розмір бюджетного призначення визначено відповідно до бюджетної програми на 202</w:t>
            </w:r>
            <w:r w:rsidR="004334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рік за КПКВК </w:t>
            </w:r>
            <w:r w:rsidR="006D1E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0412020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«Протиепізоотичні заходи та участь у </w:t>
            </w:r>
            <w:r w:rsidR="00E12547" w:rsidRP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Всесвітній організації охорони здоров’я тварин (МЕБ)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 КЕКВ 2220 «Медикаменти та перев’язувальні матеріали»</w:t>
            </w:r>
          </w:p>
        </w:tc>
      </w:tr>
      <w:tr w:rsidR="006F713E" w14:paraId="10EB272D" w14:textId="77777777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FFFCBC8" w14:textId="77777777" w:rsidR="006F713E" w:rsidRDefault="006F713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339655D" w14:textId="77777777" w:rsidR="006F713E" w:rsidRDefault="006F713E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Очікувана вартість предмета закупівлі</w:t>
            </w:r>
          </w:p>
        </w:tc>
        <w:tc>
          <w:tcPr>
            <w:tcW w:w="6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27E7C" w14:textId="77777777" w:rsidR="006F713E" w:rsidRDefault="00A2009C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</w:t>
            </w:r>
            <w:r w:rsidR="00AC363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283 735 529,35</w:t>
            </w:r>
            <w:r w:rsidR="0081756B" w:rsidRPr="008175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81756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грн </w:t>
            </w:r>
            <w:r w:rsidR="001915BB" w:rsidRPr="001915B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 ПДВ</w:t>
            </w:r>
          </w:p>
        </w:tc>
      </w:tr>
      <w:tr w:rsidR="006F713E" w14:paraId="2B87DC7F" w14:textId="77777777" w:rsidTr="0081756B">
        <w:trPr>
          <w:trHeight w:val="2246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4AB1CE" w14:textId="77777777" w:rsidR="006F713E" w:rsidRDefault="006F713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93F81D" w14:textId="77777777" w:rsidR="006F713E" w:rsidRDefault="006F713E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Обґрунтування очікуваної вартості предмета закупівлі</w:t>
            </w:r>
          </w:p>
        </w:tc>
        <w:tc>
          <w:tcPr>
            <w:tcW w:w="6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A246ED" w14:textId="6CAF6622" w:rsidR="006F713E" w:rsidRDefault="006F713E" w:rsidP="006D1E28">
            <w:pPr>
              <w:shd w:val="clear" w:color="auto" w:fill="FFFFFF"/>
              <w:spacing w:after="0" w:line="240" w:lineRule="auto"/>
              <w:ind w:firstLine="352"/>
              <w:jc w:val="both"/>
              <w:textAlignment w:val="baseline"/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Визначення очікуваної вартості предмета закупівлі здійснювалося відповідно до орієнтовно-розрахункової вартості предмету закупівлі згідно із замовленням засобів захисту тварин на протиепізоотичні заходи на 202</w:t>
            </w:r>
            <w:r w:rsidR="004334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рік, погодженого відповідно до протоколу № 1 від </w:t>
            </w:r>
            <w:r w:rsid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="004334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 w:rsidR="004334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4334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рішення Державної надзвичайної протиепізоотичної комісії при Кабінеті Міністрів України, та проведення моніторингу цін, шляхом збору та аналізу інформації про ціну товару</w:t>
            </w:r>
            <w:r w:rsidR="00F953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F9534D" w:rsidRPr="00F953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і застосовування методу розрахунку очікуваної вартості на підставі цін минулих </w:t>
            </w:r>
            <w:proofErr w:type="spellStart"/>
            <w:r w:rsidR="00F9534D" w:rsidRPr="00F953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закупівель</w:t>
            </w:r>
            <w:proofErr w:type="spellEnd"/>
            <w:r w:rsidR="00F9534D" w:rsidRPr="00F9534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6F713E" w14:paraId="7C194A2E" w14:textId="77777777" w:rsidTr="0024355C">
        <w:trPr>
          <w:trHeight w:val="1029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622CB48" w14:textId="77777777" w:rsidR="006F713E" w:rsidRDefault="006F713E">
            <w:pPr>
              <w:spacing w:after="0" w:line="240" w:lineRule="auto"/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DD4626" w14:textId="77777777" w:rsidR="006F713E" w:rsidRDefault="006F713E">
            <w:pPr>
              <w:spacing w:after="0" w:line="240" w:lineRule="auto"/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Відповідальні особи за надання роз’яснень потенційним учасникам</w:t>
            </w:r>
          </w:p>
        </w:tc>
        <w:tc>
          <w:tcPr>
            <w:tcW w:w="65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D8F419" w14:textId="77777777" w:rsidR="006F713E" w:rsidRDefault="004334F6" w:rsidP="00E12547">
            <w:pPr>
              <w:shd w:val="clear" w:color="auto" w:fill="FFFFFF"/>
              <w:spacing w:after="0" w:line="240" w:lineRule="auto"/>
              <w:ind w:firstLine="352"/>
              <w:jc w:val="both"/>
              <w:textAlignment w:val="baseline"/>
            </w:pP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Лоцкін</w:t>
            </w:r>
            <w:proofErr w:type="spellEnd"/>
            <w:r w:rsidR="00E12547" w:rsidRP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І. М.</w:t>
            </w:r>
            <w:r w:rsidR="00E12547" w:rsidRP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– директор Департаменту безпечності харчових продуктів та ветеринарної медицини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="00E12547" w:rsidRP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тел</w:t>
            </w:r>
            <w:proofErr w:type="spellEnd"/>
            <w:r w:rsidR="00E12547" w:rsidRPr="00E125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r w:rsidR="007336EE" w:rsidRPr="007336E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(044) 278-44-67</w:t>
            </w:r>
          </w:p>
        </w:tc>
      </w:tr>
    </w:tbl>
    <w:p w14:paraId="3662D4E5" w14:textId="0F5DA33A" w:rsidR="006F713E" w:rsidRDefault="006F713E" w:rsidP="008F5EDA">
      <w:pPr>
        <w:spacing w:after="0" w:line="240" w:lineRule="auto"/>
        <w:jc w:val="center"/>
      </w:pPr>
    </w:p>
    <w:sectPr w:rsidR="006F713E" w:rsidSect="008F5EDA">
      <w:headerReference w:type="default" r:id="rId9"/>
      <w:pgSz w:w="11906" w:h="16838"/>
      <w:pgMar w:top="567" w:right="567" w:bottom="709" w:left="1701" w:header="0" w:footer="708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131A20" w14:textId="77777777" w:rsidR="008B71FE" w:rsidRDefault="008B71FE">
      <w:pPr>
        <w:spacing w:after="0" w:line="240" w:lineRule="auto"/>
      </w:pPr>
      <w:r>
        <w:separator/>
      </w:r>
    </w:p>
  </w:endnote>
  <w:endnote w:type="continuationSeparator" w:id="0">
    <w:p w14:paraId="15DE6872" w14:textId="77777777" w:rsidR="008B71FE" w:rsidRDefault="008B71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Noto Sans CJK SC">
    <w:altName w:val="Cambria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703171" w14:textId="77777777" w:rsidR="008B71FE" w:rsidRDefault="008B71FE">
      <w:pPr>
        <w:spacing w:after="0" w:line="240" w:lineRule="auto"/>
      </w:pPr>
      <w:r>
        <w:separator/>
      </w:r>
    </w:p>
  </w:footnote>
  <w:footnote w:type="continuationSeparator" w:id="0">
    <w:p w14:paraId="25ABBE34" w14:textId="77777777" w:rsidR="008B71FE" w:rsidRDefault="008B71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184C80" w14:textId="77777777" w:rsidR="006F713E" w:rsidRDefault="006F713E">
    <w:pPr>
      <w:pStyle w:val="af"/>
      <w:jc w:val="center"/>
    </w:pPr>
    <w:r>
      <w:fldChar w:fldCharType="begin"/>
    </w:r>
    <w:r>
      <w:instrText xml:space="preserve"> PAGE </w:instrText>
    </w:r>
    <w:r>
      <w:fldChar w:fldCharType="separate"/>
    </w:r>
    <w:r>
      <w:t>0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674501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D1E28"/>
    <w:rsid w:val="00130BCF"/>
    <w:rsid w:val="00141228"/>
    <w:rsid w:val="001915BB"/>
    <w:rsid w:val="001B01B9"/>
    <w:rsid w:val="0024355C"/>
    <w:rsid w:val="002728D5"/>
    <w:rsid w:val="00301A07"/>
    <w:rsid w:val="00380D2D"/>
    <w:rsid w:val="003E36F9"/>
    <w:rsid w:val="003E3A99"/>
    <w:rsid w:val="00401671"/>
    <w:rsid w:val="004205F0"/>
    <w:rsid w:val="004334F6"/>
    <w:rsid w:val="005B15CA"/>
    <w:rsid w:val="005F2E91"/>
    <w:rsid w:val="006D1E28"/>
    <w:rsid w:val="006F713E"/>
    <w:rsid w:val="00702EE0"/>
    <w:rsid w:val="007336EE"/>
    <w:rsid w:val="00776790"/>
    <w:rsid w:val="007F0273"/>
    <w:rsid w:val="00801CEE"/>
    <w:rsid w:val="0081756B"/>
    <w:rsid w:val="00880AF5"/>
    <w:rsid w:val="008B131C"/>
    <w:rsid w:val="008B71FE"/>
    <w:rsid w:val="008F5EDA"/>
    <w:rsid w:val="00A00CA3"/>
    <w:rsid w:val="00A2009C"/>
    <w:rsid w:val="00A8196D"/>
    <w:rsid w:val="00AC3630"/>
    <w:rsid w:val="00B17F72"/>
    <w:rsid w:val="00B64541"/>
    <w:rsid w:val="00B64FB7"/>
    <w:rsid w:val="00B96056"/>
    <w:rsid w:val="00BC173A"/>
    <w:rsid w:val="00BC4418"/>
    <w:rsid w:val="00C006B2"/>
    <w:rsid w:val="00C03509"/>
    <w:rsid w:val="00C84C8D"/>
    <w:rsid w:val="00CA1A68"/>
    <w:rsid w:val="00CF3FA7"/>
    <w:rsid w:val="00D1736E"/>
    <w:rsid w:val="00D9677B"/>
    <w:rsid w:val="00DA2724"/>
    <w:rsid w:val="00E12547"/>
    <w:rsid w:val="00E1777F"/>
    <w:rsid w:val="00F14C14"/>
    <w:rsid w:val="00F15257"/>
    <w:rsid w:val="00F547F4"/>
    <w:rsid w:val="00F95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5A68816"/>
  <w15:chartTrackingRefBased/>
  <w15:docId w15:val="{7A36AE52-3969-4960-B2CF-862B721089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zh-CN"/>
    </w:rPr>
  </w:style>
  <w:style w:type="paragraph" w:styleId="1">
    <w:name w:val="heading 1"/>
    <w:basedOn w:val="a"/>
    <w:next w:val="a0"/>
    <w:qFormat/>
    <w:pPr>
      <w:numPr>
        <w:numId w:val="1"/>
      </w:numPr>
      <w:spacing w:before="280" w:after="280" w:line="240" w:lineRule="auto"/>
      <w:outlineLvl w:val="0"/>
    </w:pPr>
    <w:rPr>
      <w:rFonts w:ascii="Times New Roman" w:eastAsia="Times New Roman" w:hAnsi="Times New Roman"/>
      <w:b/>
      <w:bCs/>
      <w:kern w:val="2"/>
      <w:sz w:val="48"/>
      <w:szCs w:val="48"/>
      <w:lang w:val="x-none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a4">
    <w:name w:val="Основной шрифт абзаца"/>
  </w:style>
  <w:style w:type="character" w:customStyle="1" w:styleId="10">
    <w:name w:val="Заголовок 1 Знак"/>
    <w:rPr>
      <w:rFonts w:eastAsia="Times New Roman" w:cs="Times New Roman"/>
      <w:b/>
      <w:bCs/>
      <w:kern w:val="2"/>
      <w:sz w:val="48"/>
      <w:szCs w:val="48"/>
    </w:rPr>
  </w:style>
  <w:style w:type="character" w:customStyle="1" w:styleId="qabuget">
    <w:name w:val="qa_buget"/>
    <w:basedOn w:val="a4"/>
  </w:style>
  <w:style w:type="character" w:customStyle="1" w:styleId="qacode">
    <w:name w:val="qa_code"/>
    <w:basedOn w:val="a4"/>
  </w:style>
  <w:style w:type="character" w:customStyle="1" w:styleId="a5">
    <w:name w:val="Текст выноски Знак"/>
    <w:rPr>
      <w:rFonts w:ascii="Segoe UI" w:hAnsi="Segoe UI" w:cs="Segoe UI"/>
      <w:sz w:val="18"/>
      <w:szCs w:val="18"/>
    </w:rPr>
  </w:style>
  <w:style w:type="character" w:customStyle="1" w:styleId="h-hidden">
    <w:name w:val="h-hidden"/>
  </w:style>
  <w:style w:type="character" w:customStyle="1" w:styleId="a6">
    <w:name w:val="Без интервала Знак"/>
    <w:rPr>
      <w:rFonts w:ascii="Calibri" w:eastAsia="Times New Roman" w:hAnsi="Calibri" w:cs="Times New Roman"/>
      <w:sz w:val="22"/>
      <w:szCs w:val="22"/>
      <w:lang w:val="uk-UA" w:bidi="ar-SA"/>
    </w:rPr>
  </w:style>
  <w:style w:type="character" w:customStyle="1" w:styleId="a7">
    <w:name w:val="Верхний колонтитул Знак"/>
    <w:rPr>
      <w:rFonts w:ascii="Calibri" w:hAnsi="Calibri" w:cs="Times New Roman"/>
      <w:sz w:val="22"/>
      <w:szCs w:val="22"/>
      <w:lang w:val="uk-UA"/>
    </w:rPr>
  </w:style>
  <w:style w:type="character" w:customStyle="1" w:styleId="a8">
    <w:name w:val="Нижний колонтитул Знак"/>
    <w:rPr>
      <w:rFonts w:ascii="Calibri" w:hAnsi="Calibri" w:cs="Times New Roman"/>
      <w:sz w:val="22"/>
      <w:szCs w:val="22"/>
      <w:lang w:val="uk-UA"/>
    </w:rPr>
  </w:style>
  <w:style w:type="paragraph" w:customStyle="1" w:styleId="a9">
    <w:name w:val="Заголовок"/>
    <w:basedOn w:val="a"/>
    <w:next w:val="a0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0">
    <w:name w:val="Body Text"/>
    <w:basedOn w:val="a"/>
    <w:pPr>
      <w:spacing w:after="140"/>
    </w:pPr>
  </w:style>
  <w:style w:type="paragraph" w:styleId="aa">
    <w:name w:val="List"/>
    <w:basedOn w:val="a0"/>
    <w:rPr>
      <w:rFonts w:cs="Lohit Devanagari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ac">
    <w:name w:val="Указатель"/>
    <w:basedOn w:val="a"/>
    <w:pPr>
      <w:suppressLineNumbers/>
    </w:pPr>
    <w:rPr>
      <w:rFonts w:cs="Lohit Devanagari"/>
    </w:rPr>
  </w:style>
  <w:style w:type="paragraph" w:customStyle="1" w:styleId="ad">
    <w:name w:val="Текст выноски"/>
    <w:basedOn w:val="a"/>
    <w:pPr>
      <w:spacing w:after="0" w:line="240" w:lineRule="auto"/>
    </w:pPr>
    <w:rPr>
      <w:rFonts w:ascii="Segoe UI" w:hAnsi="Segoe UI" w:cs="Segoe UI"/>
      <w:sz w:val="18"/>
      <w:szCs w:val="18"/>
      <w:lang w:val="x-none"/>
    </w:rPr>
  </w:style>
  <w:style w:type="paragraph" w:customStyle="1" w:styleId="ae">
    <w:name w:val="Без интервала"/>
    <w:pPr>
      <w:suppressAutoHyphens/>
    </w:pPr>
    <w:rPr>
      <w:rFonts w:ascii="Calibri" w:hAnsi="Calibri"/>
      <w:sz w:val="22"/>
      <w:szCs w:val="22"/>
      <w:lang w:eastAsia="zh-CN"/>
    </w:rPr>
  </w:style>
  <w:style w:type="paragraph" w:styleId="af">
    <w:name w:val="header"/>
    <w:basedOn w:val="a"/>
    <w:pPr>
      <w:tabs>
        <w:tab w:val="center" w:pos="4677"/>
        <w:tab w:val="right" w:pos="9355"/>
      </w:tabs>
    </w:pPr>
  </w:style>
  <w:style w:type="paragraph" w:styleId="af0">
    <w:name w:val="footer"/>
    <w:basedOn w:val="a"/>
    <w:pPr>
      <w:tabs>
        <w:tab w:val="center" w:pos="4677"/>
        <w:tab w:val="right" w:pos="9355"/>
      </w:tabs>
    </w:pPr>
  </w:style>
  <w:style w:type="paragraph" w:customStyle="1" w:styleId="af1">
    <w:name w:val="Содержимое таблицы"/>
    <w:basedOn w:val="a"/>
    <w:pPr>
      <w:suppressLineNumbers/>
    </w:pPr>
  </w:style>
  <w:style w:type="paragraph" w:customStyle="1" w:styleId="af2">
    <w:name w:val="Заголовок таблицы"/>
    <w:basedOn w:val="af1"/>
    <w:pPr>
      <w:jc w:val="center"/>
    </w:pPr>
    <w:rPr>
      <w:b/>
      <w:bCs/>
    </w:rPr>
  </w:style>
  <w:style w:type="character" w:styleId="af3">
    <w:name w:val="Hyperlink"/>
    <w:basedOn w:val="a1"/>
    <w:uiPriority w:val="99"/>
    <w:unhideWhenUsed/>
    <w:rsid w:val="008F5EDA"/>
    <w:rPr>
      <w:color w:val="467886" w:themeColor="hyperlink"/>
      <w:u w:val="single"/>
    </w:rPr>
  </w:style>
  <w:style w:type="character" w:styleId="af4">
    <w:name w:val="Unresolved Mention"/>
    <w:basedOn w:val="a1"/>
    <w:uiPriority w:val="99"/>
    <w:semiHidden/>
    <w:unhideWhenUsed/>
    <w:rsid w:val="008F5E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zorro.gov.ua/tender/UA-2025-03-25-006385-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y.zakupivli.pro/cabinet/purchases/state_purchase/view/5832693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1506</Words>
  <Characters>859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М. Дяченко</dc:creator>
  <cp:keywords/>
  <cp:lastModifiedBy>Alyona Tuzynska</cp:lastModifiedBy>
  <cp:revision>4</cp:revision>
  <cp:lastPrinted>2022-02-16T12:08:00Z</cp:lastPrinted>
  <dcterms:created xsi:type="dcterms:W3CDTF">2025-03-25T12:26:00Z</dcterms:created>
  <dcterms:modified xsi:type="dcterms:W3CDTF">2025-03-25T12:30:00Z</dcterms:modified>
</cp:coreProperties>
</file>