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3" w:rsidRDefault="000E2103" w:rsidP="00B172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:rsidR="000E2103" w:rsidRDefault="000E2103" w:rsidP="00E86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A1">
        <w:rPr>
          <w:rFonts w:ascii="Times New Roman" w:hAnsi="Times New Roman" w:cs="Times New Roman"/>
          <w:b/>
          <w:bCs/>
          <w:sz w:val="24"/>
          <w:szCs w:val="24"/>
        </w:rPr>
        <w:t>Категорізація</w:t>
      </w:r>
      <w:proofErr w:type="spellEnd"/>
      <w:r w:rsidRPr="00E867A1">
        <w:rPr>
          <w:rFonts w:ascii="Times New Roman" w:hAnsi="Times New Roman" w:cs="Times New Roman"/>
          <w:b/>
          <w:bCs/>
          <w:sz w:val="24"/>
          <w:szCs w:val="24"/>
        </w:rPr>
        <w:t xml:space="preserve"> протимікробних препаратів, що застосовують  для тварин для відповідального та раціонального застосування</w:t>
      </w:r>
    </w:p>
    <w:p w:rsidR="000E2103" w:rsidRDefault="000E2103" w:rsidP="00E8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Раціональне</w:t>
      </w:r>
      <w:r w:rsidRPr="00E867A1">
        <w:rPr>
          <w:rFonts w:ascii="Times New Roman" w:hAnsi="Times New Roman" w:cs="Times New Roman"/>
          <w:sz w:val="24"/>
          <w:szCs w:val="24"/>
        </w:rPr>
        <w:t xml:space="preserve"> та відповідальне використання </w:t>
      </w:r>
      <w:r>
        <w:rPr>
          <w:rFonts w:ascii="Times New Roman" w:hAnsi="Times New Roman" w:cs="Times New Roman"/>
          <w:sz w:val="24"/>
          <w:szCs w:val="24"/>
        </w:rPr>
        <w:t>протимікробних препаратів</w:t>
      </w:r>
      <w:r w:rsidRPr="00E867A1">
        <w:rPr>
          <w:rFonts w:ascii="Times New Roman" w:hAnsi="Times New Roman" w:cs="Times New Roman"/>
          <w:sz w:val="24"/>
          <w:szCs w:val="24"/>
        </w:rPr>
        <w:t xml:space="preserve"> як у тварин, так і у людей може знизити ризик стійкості </w:t>
      </w:r>
      <w:proofErr w:type="spellStart"/>
      <w:r w:rsidRPr="00E867A1">
        <w:rPr>
          <w:rFonts w:ascii="Times New Roman" w:hAnsi="Times New Roman" w:cs="Times New Roman"/>
          <w:sz w:val="24"/>
          <w:szCs w:val="24"/>
        </w:rPr>
        <w:t>бактерій.Це</w:t>
      </w:r>
      <w:proofErr w:type="spellEnd"/>
      <w:r w:rsidRPr="00E867A1">
        <w:rPr>
          <w:rFonts w:ascii="Times New Roman" w:hAnsi="Times New Roman" w:cs="Times New Roman"/>
          <w:sz w:val="24"/>
          <w:szCs w:val="24"/>
        </w:rPr>
        <w:t xml:space="preserve"> особливо важливо для антибіотиків, які застосовуються для лікування як людей, так і тварин, а також для антибіотиків, які є </w:t>
      </w:r>
      <w:r>
        <w:rPr>
          <w:rFonts w:ascii="Times New Roman" w:hAnsi="Times New Roman" w:cs="Times New Roman"/>
          <w:sz w:val="24"/>
          <w:szCs w:val="24"/>
        </w:rPr>
        <w:t>критично важливими для гуманної медицини</w:t>
      </w:r>
      <w:r w:rsidRPr="00E867A1">
        <w:rPr>
          <w:rFonts w:ascii="Times New Roman" w:hAnsi="Times New Roman" w:cs="Times New Roman"/>
          <w:sz w:val="24"/>
          <w:szCs w:val="24"/>
        </w:rPr>
        <w:t>.</w:t>
      </w:r>
    </w:p>
    <w:p w:rsidR="000E2103" w:rsidRDefault="000E2103" w:rsidP="00E8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Рекомендацій ВОЗ та ЄМА протимікробні препарати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категоризують</w:t>
      </w:r>
      <w:proofErr w:type="spellEnd"/>
      <w:r w:rsidRPr="00E867A1">
        <w:rPr>
          <w:rFonts w:ascii="Times New Roman" w:hAnsi="Times New Roman" w:cs="Times New Roman"/>
          <w:sz w:val="24"/>
          <w:szCs w:val="24"/>
        </w:rPr>
        <w:t>, виходячи з потенційних наслідків для здоров’я населення</w:t>
      </w:r>
      <w:r>
        <w:rPr>
          <w:rFonts w:ascii="Times New Roman" w:hAnsi="Times New Roman" w:cs="Times New Roman"/>
          <w:sz w:val="24"/>
          <w:szCs w:val="24"/>
        </w:rPr>
        <w:t>, пов’язаною з</w:t>
      </w:r>
      <w:r w:rsidRPr="00E867A1">
        <w:rPr>
          <w:rFonts w:ascii="Times New Roman" w:hAnsi="Times New Roman" w:cs="Times New Roman"/>
          <w:sz w:val="24"/>
          <w:szCs w:val="24"/>
        </w:rPr>
        <w:t xml:space="preserve"> підвищеної антимікробної стійкості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A1">
        <w:rPr>
          <w:rFonts w:ascii="Times New Roman" w:hAnsi="Times New Roman" w:cs="Times New Roman"/>
          <w:sz w:val="24"/>
          <w:szCs w:val="24"/>
        </w:rPr>
        <w:t>використанн</w:t>
      </w:r>
      <w:r>
        <w:rPr>
          <w:rFonts w:ascii="Times New Roman" w:hAnsi="Times New Roman" w:cs="Times New Roman"/>
          <w:sz w:val="24"/>
          <w:szCs w:val="24"/>
        </w:rPr>
        <w:t>я їх для тварин,</w:t>
      </w:r>
      <w:r w:rsidRPr="00E867A1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необхідності</w:t>
      </w:r>
      <w:r w:rsidRPr="00E867A1">
        <w:rPr>
          <w:rFonts w:ascii="Times New Roman" w:hAnsi="Times New Roman" w:cs="Times New Roman"/>
          <w:sz w:val="24"/>
          <w:szCs w:val="24"/>
        </w:rPr>
        <w:t xml:space="preserve"> їх використання у </w:t>
      </w:r>
      <w:proofErr w:type="spellStart"/>
      <w:r w:rsidRPr="00E867A1">
        <w:rPr>
          <w:rFonts w:ascii="Times New Roman" w:hAnsi="Times New Roman" w:cs="Times New Roman"/>
          <w:sz w:val="24"/>
          <w:szCs w:val="24"/>
        </w:rPr>
        <w:t>ветеринарії.Категоризація</w:t>
      </w:r>
      <w:proofErr w:type="spellEnd"/>
      <w:r w:rsidRPr="00E867A1">
        <w:rPr>
          <w:rFonts w:ascii="Times New Roman" w:hAnsi="Times New Roman" w:cs="Times New Roman"/>
          <w:sz w:val="24"/>
          <w:szCs w:val="24"/>
        </w:rPr>
        <w:t xml:space="preserve"> призначена як інструмент для прийняття </w:t>
      </w:r>
      <w:proofErr w:type="spellStart"/>
      <w:r w:rsidRPr="00E867A1">
        <w:rPr>
          <w:rFonts w:ascii="Times New Roman" w:hAnsi="Times New Roman" w:cs="Times New Roman"/>
          <w:sz w:val="24"/>
          <w:szCs w:val="24"/>
        </w:rPr>
        <w:t>рішен</w:t>
      </w:r>
      <w:r>
        <w:rPr>
          <w:rFonts w:ascii="Times New Roman" w:hAnsi="Times New Roman" w:cs="Times New Roman"/>
          <w:sz w:val="24"/>
          <w:szCs w:val="24"/>
        </w:rPr>
        <w:t>нялікарями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ветеринарної медицини</w:t>
      </w:r>
      <w:r w:rsidRPr="00E867A1">
        <w:rPr>
          <w:rFonts w:ascii="Times New Roman" w:hAnsi="Times New Roman" w:cs="Times New Roman"/>
          <w:sz w:val="24"/>
          <w:szCs w:val="24"/>
        </w:rPr>
        <w:t xml:space="preserve">, який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r w:rsidRPr="00E867A1">
        <w:rPr>
          <w:rFonts w:ascii="Times New Roman" w:hAnsi="Times New Roman" w:cs="Times New Roman"/>
          <w:sz w:val="24"/>
          <w:szCs w:val="24"/>
        </w:rPr>
        <w:t>антибіотик</w:t>
      </w:r>
      <w:proofErr w:type="spellEnd"/>
      <w:r w:rsidRPr="00E867A1">
        <w:rPr>
          <w:rFonts w:ascii="Times New Roman" w:hAnsi="Times New Roman" w:cs="Times New Roman"/>
          <w:sz w:val="24"/>
          <w:szCs w:val="24"/>
        </w:rPr>
        <w:t xml:space="preserve"> використовувати.</w:t>
      </w:r>
    </w:p>
    <w:p w:rsidR="000E2103" w:rsidRDefault="000E2103" w:rsidP="00E8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Лікарям ветеринарної медицини</w:t>
      </w:r>
      <w:r w:rsidRPr="00B3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E32">
        <w:rPr>
          <w:rFonts w:ascii="Times New Roman" w:hAnsi="Times New Roman" w:cs="Times New Roman"/>
          <w:sz w:val="24"/>
          <w:szCs w:val="24"/>
        </w:rPr>
        <w:t>рекоменду</w:t>
      </w:r>
      <w:r>
        <w:rPr>
          <w:rFonts w:ascii="Times New Roman" w:hAnsi="Times New Roman" w:cs="Times New Roman"/>
          <w:sz w:val="24"/>
          <w:szCs w:val="24"/>
        </w:rPr>
        <w:t>ютьзвіритись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35E32">
        <w:rPr>
          <w:rFonts w:ascii="Times New Roman" w:hAnsi="Times New Roman" w:cs="Times New Roman"/>
          <w:sz w:val="24"/>
          <w:szCs w:val="24"/>
        </w:rPr>
        <w:t xml:space="preserve"> категоризаці</w:t>
      </w:r>
      <w:r>
        <w:rPr>
          <w:rFonts w:ascii="Times New Roman" w:hAnsi="Times New Roman" w:cs="Times New Roman"/>
          <w:sz w:val="24"/>
          <w:szCs w:val="24"/>
        </w:rPr>
        <w:t>єю</w:t>
      </w:r>
      <w:r w:rsidRPr="00B35E32">
        <w:rPr>
          <w:rFonts w:ascii="Times New Roman" w:hAnsi="Times New Roman" w:cs="Times New Roman"/>
          <w:sz w:val="24"/>
          <w:szCs w:val="24"/>
        </w:rPr>
        <w:t xml:space="preserve"> перед тим, як призначити будь-який антибіотик для тварин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E32">
        <w:rPr>
          <w:rFonts w:ascii="Times New Roman" w:hAnsi="Times New Roman" w:cs="Times New Roman"/>
          <w:sz w:val="24"/>
          <w:szCs w:val="24"/>
        </w:rPr>
        <w:t xml:space="preserve"> Категоризація не замінює рекомендацій щодо лікування, які повинні враховувати інші фактори, такі як супровідна інформація у </w:t>
      </w:r>
      <w:r>
        <w:rPr>
          <w:rFonts w:ascii="Times New Roman" w:hAnsi="Times New Roman" w:cs="Times New Roman"/>
          <w:sz w:val="24"/>
          <w:szCs w:val="24"/>
        </w:rPr>
        <w:t>Короткій характеристиці препарату,</w:t>
      </w:r>
      <w:r w:rsidRPr="00B35E32">
        <w:rPr>
          <w:rFonts w:ascii="Times New Roman" w:hAnsi="Times New Roman" w:cs="Times New Roman"/>
          <w:sz w:val="24"/>
          <w:szCs w:val="24"/>
        </w:rPr>
        <w:t xml:space="preserve"> щодо наявних </w:t>
      </w:r>
      <w:r>
        <w:rPr>
          <w:rFonts w:ascii="Times New Roman" w:hAnsi="Times New Roman" w:cs="Times New Roman"/>
          <w:sz w:val="24"/>
          <w:szCs w:val="24"/>
        </w:rPr>
        <w:t>протимікробних препаратів</w:t>
      </w:r>
      <w:r w:rsidRPr="00B35E32">
        <w:rPr>
          <w:rFonts w:ascii="Times New Roman" w:hAnsi="Times New Roman" w:cs="Times New Roman"/>
          <w:sz w:val="24"/>
          <w:szCs w:val="24"/>
        </w:rPr>
        <w:t xml:space="preserve">, обмеження щодо використання </w:t>
      </w:r>
      <w:r>
        <w:rPr>
          <w:rFonts w:ascii="Times New Roman" w:hAnsi="Times New Roman" w:cs="Times New Roman"/>
          <w:sz w:val="24"/>
          <w:szCs w:val="24"/>
        </w:rPr>
        <w:t xml:space="preserve">продуктивним </w:t>
      </w:r>
      <w:r w:rsidRPr="00B35E32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E32">
        <w:rPr>
          <w:rFonts w:ascii="Times New Roman" w:hAnsi="Times New Roman" w:cs="Times New Roman"/>
          <w:sz w:val="24"/>
          <w:szCs w:val="24"/>
        </w:rPr>
        <w:t xml:space="preserve">, регіональні </w:t>
      </w:r>
      <w:r>
        <w:rPr>
          <w:rFonts w:ascii="Times New Roman" w:hAnsi="Times New Roman" w:cs="Times New Roman"/>
          <w:sz w:val="24"/>
          <w:szCs w:val="24"/>
        </w:rPr>
        <w:t>епізоотична ситуація</w:t>
      </w:r>
      <w:r w:rsidRPr="00B35E32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протимікробна чутливість</w:t>
      </w:r>
      <w:r w:rsidRPr="00B35E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7"/>
        <w:gridCol w:w="5350"/>
      </w:tblGrid>
      <w:tr w:rsidR="000E2103" w:rsidRPr="005C3729">
        <w:tc>
          <w:tcPr>
            <w:tcW w:w="5408" w:type="dxa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А</w:t>
            </w: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Avoid</w:t>
            </w: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Уникати)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•антибіотики цієї категорії не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дозволенідля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застосуванняу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ветеринарній медицині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не слід застосовувати продуктивним тваринам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можуть застосовувати для лікування тварин-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компаньонів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за виняткових обставин</w:t>
            </w:r>
          </w:p>
        </w:tc>
        <w:tc>
          <w:tcPr>
            <w:tcW w:w="5409" w:type="dxa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В</w:t>
            </w: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Restrict</w:t>
            </w:r>
            <w:proofErr w:type="spellEnd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Обмежити)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антибіотики цієї категорії мають вирішальне значення в медицині людини, а використання тваринам має бути обмежено з метою зменшення ризику для здоров'я населення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слід розглядати лише тоді, коли немає протимікробних препаратів категорії C або D, які могли б бути ефективними при лікуванні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використання має базуватися на тестуванні на протимікробну чутливість, де це можливо</w:t>
            </w:r>
          </w:p>
        </w:tc>
      </w:tr>
      <w:tr w:rsidR="000E2103" w:rsidRPr="005C3729">
        <w:tc>
          <w:tcPr>
            <w:tcW w:w="5408" w:type="dxa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С</w:t>
            </w: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Caution</w:t>
            </w:r>
            <w:proofErr w:type="spellEnd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Обережність)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• для протимікробних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препаратівцієї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 є альтернативи у гуманній медицині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для деяких показань у ветеринарній медицині немає альтернатив, що належать до категорії D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слід розглядати лише тоді, коли в категорії D немає антибіотиків, які могли б бути ефективними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Категорія </w:t>
            </w: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Prudence</w:t>
            </w:r>
            <w:proofErr w:type="spellEnd"/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Розсудливе)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за можливості протимікробні препарати цієї категорії слід використовувати як лікування першої лінії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• як завжди, слід застосовувати обережно, лише за  необхідності</w:t>
            </w:r>
          </w:p>
        </w:tc>
      </w:tr>
    </w:tbl>
    <w:p w:rsidR="000E2103" w:rsidRDefault="000E2103" w:rsidP="00F24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EB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протимікробних ветеринарних препаратів</w:t>
      </w:r>
      <w:r w:rsidRPr="00F24EBF">
        <w:rPr>
          <w:rFonts w:ascii="Times New Roman" w:hAnsi="Times New Roman" w:cs="Times New Roman"/>
          <w:sz w:val="24"/>
          <w:szCs w:val="24"/>
        </w:rPr>
        <w:t xml:space="preserve"> усіх категорій</w:t>
      </w:r>
    </w:p>
    <w:p w:rsidR="000E2103" w:rsidRDefault="000E2103" w:rsidP="00F24EBF">
      <w:pPr>
        <w:jc w:val="both"/>
        <w:rPr>
          <w:rFonts w:ascii="Times New Roman" w:hAnsi="Times New Roman" w:cs="Times New Roman"/>
          <w:sz w:val="24"/>
          <w:szCs w:val="24"/>
        </w:rPr>
      </w:pPr>
      <w:r w:rsidRPr="00F24EBF">
        <w:rPr>
          <w:rFonts w:ascii="Times New Roman" w:hAnsi="Times New Roman" w:cs="Times New Roman"/>
          <w:sz w:val="24"/>
          <w:szCs w:val="24"/>
        </w:rPr>
        <w:t>• слід уникати зайвого використання, занадто тривалих періодів лікування та недостатнього дозування • групове лікування повинно бути обмежене ситуаціями, коли індивідуальне лікування не є можливим</w:t>
      </w:r>
    </w:p>
    <w:p w:rsidR="000E2103" w:rsidRDefault="000E2103" w:rsidP="00F24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B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Категоризація класів антибіотиків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застосування у ветеринарній медицині </w:t>
      </w:r>
      <w:r w:rsidRPr="00F24EBF">
        <w:rPr>
          <w:rFonts w:ascii="Times New Roman" w:hAnsi="Times New Roman" w:cs="Times New Roman"/>
          <w:b/>
          <w:bCs/>
          <w:sz w:val="24"/>
          <w:szCs w:val="24"/>
        </w:rPr>
        <w:t xml:space="preserve"> (з прикладами речовин, дозволених для використання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людям і тваринам</w:t>
      </w:r>
      <w:r w:rsidRPr="00F24E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2259"/>
        <w:gridCol w:w="3061"/>
        <w:gridCol w:w="2128"/>
        <w:gridCol w:w="1955"/>
      </w:tblGrid>
      <w:tr w:rsidR="000E2103" w:rsidRPr="005C3729">
        <w:tc>
          <w:tcPr>
            <w:tcW w:w="1294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</w:p>
        </w:tc>
        <w:tc>
          <w:tcPr>
            <w:tcW w:w="9523" w:type="dxa"/>
            <w:gridSpan w:val="4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класу та  діючої речовини протимікробний препаратів</w:t>
            </w:r>
          </w:p>
        </w:tc>
      </w:tr>
      <w:tr w:rsidR="000E2103" w:rsidRPr="005C3729">
        <w:tc>
          <w:tcPr>
            <w:tcW w:w="1294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Амінопеніциліни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Amdinopenicillin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mecillinam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pivmecillinam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Карбопенеми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Сarbapenems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meropenem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doripenem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Препарати, що застосовуються виключно для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лікування туберкульозу або інших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мікобактеріальних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solely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mycobacterial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isoniazid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ethambutol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pyrazinamide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ethionamide</w:t>
            </w:r>
            <w:proofErr w:type="spellEnd"/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Глікопептиди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Glycopeptides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Кетоліди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Ketolides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telithromycin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Ліпопетиди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Lipopeptides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daptomycin</w:t>
            </w:r>
            <w:proofErr w:type="spellEnd"/>
          </w:p>
        </w:tc>
        <w:tc>
          <w:tcPr>
            <w:tcW w:w="2128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Гліцилцикліни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Glycylcyclines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tigecycline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Монобактами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Monobactams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aztreonam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Оксазолідинони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Oxazolidinones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  <w:proofErr w:type="spellEnd"/>
          </w:p>
        </w:tc>
        <w:tc>
          <w:tcPr>
            <w:tcW w:w="2128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Похідні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фосфонової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кислоти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Phosphonic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derivates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fosfomycin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Ріфаміцини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(включно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ріфаксімін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Rifamycins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except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rifaximin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rifaximin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Рімінофеназини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Riminofenazines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clofazimine</w:t>
            </w:r>
            <w:proofErr w:type="spellEnd"/>
          </w:p>
        </w:tc>
        <w:tc>
          <w:tcPr>
            <w:tcW w:w="2128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цефалоспорини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пенеми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(код ATC J01DI), включаючи комбінації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цефалоспоринів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3-го покоління з інгібіторами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penems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(ATC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J01DI),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3rd-generation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ceftobiprole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ceftaroline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ceftolozane-tazobactam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faropenem</w:t>
            </w:r>
            <w:proofErr w:type="spellEnd"/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Псевдомонові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кислоти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Pseudomonic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mupirocin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Карбоксипеніцилін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уреїдопеніцилін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, включаючи комбінації з інгібіторами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Carboxypenicillin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ureidopenicillin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piperacillin-tazobactam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Сульфони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Sulfones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dapsone</w:t>
            </w:r>
            <w:proofErr w:type="spellEnd"/>
          </w:p>
        </w:tc>
        <w:tc>
          <w:tcPr>
            <w:tcW w:w="2128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Речовини, нещодавно дозволені в людській медицині після публікації категорії AMEG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Substances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newly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AMEG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categorisation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Стрептограміни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Streptogramins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pristinamycin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virginiamycin</w:t>
            </w:r>
            <w:proofErr w:type="spellEnd"/>
          </w:p>
        </w:tc>
        <w:tc>
          <w:tcPr>
            <w:tcW w:w="2128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2103" w:rsidRPr="005C3729">
        <w:tc>
          <w:tcPr>
            <w:tcW w:w="1294" w:type="dxa"/>
          </w:tcPr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Цефалоспорини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3-го та 4-го поколінь, за винятком комбінацій з інгібіторами β-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3rd-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4th-generation,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exception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β-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cefoperazone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cefovecin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cefquinome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ceftiofur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Поліміксини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Polymyxins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colistin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polymyxin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458" w:type="dxa"/>
            <w:gridSpan w:val="2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Хінолони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фторхінолони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та інші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хінолони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Quinolones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fluoroquinolones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quinolones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cinoxacin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danofloxacin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difloxacin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enrofloxacin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flumequine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ibafloxacin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marbofloxacin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norfloxacin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orbifloxacin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oxolinic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pradofloxacin</w:t>
            </w:r>
            <w:proofErr w:type="spellEnd"/>
          </w:p>
        </w:tc>
      </w:tr>
      <w:tr w:rsidR="000E2103" w:rsidRPr="005C3729">
        <w:tc>
          <w:tcPr>
            <w:tcW w:w="1294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769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Аміноглікозиди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(крім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спектміноміцину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except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spectinomycin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apramycin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dihydrostreptomycin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framycetin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kanamycin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neomycin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paromomycin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streptomycin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tobramycin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Амінопеніциліни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в поєднанні з інгібіторами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Aminopenicillins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clavulanic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sulbactam</w:t>
            </w:r>
            <w:proofErr w:type="spellEnd"/>
          </w:p>
        </w:tc>
        <w:tc>
          <w:tcPr>
            <w:tcW w:w="2128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Амфеніколи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Amphenicols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florfenicol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thiamphenicol</w:t>
            </w:r>
            <w:proofErr w:type="spellEnd"/>
          </w:p>
        </w:tc>
        <w:tc>
          <w:tcPr>
            <w:tcW w:w="2330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Макроліди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Macrolides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erythromycin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gamithromycin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oleandomycin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spiramycin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tildipirosin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tilmicosin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tulathromycin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tylosin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tylvalosin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Цефалоспорини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1-го та 2-го поколінь та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цефаміцини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1st-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2nd-generation,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cephamycins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Лінкозаміди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Lincosamides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lincomycin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pirlimycin</w:t>
            </w:r>
            <w:proofErr w:type="spellEnd"/>
          </w:p>
        </w:tc>
        <w:tc>
          <w:tcPr>
            <w:tcW w:w="2330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Плевромутиліни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Pleuromutilins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tiamulin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valnemulin</w:t>
            </w:r>
            <w:proofErr w:type="spellEnd"/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Рифаміцини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рифаксимін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лише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рифаксимін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Rifamycins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rifaximin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rifaximin</w:t>
            </w:r>
            <w:proofErr w:type="spellEnd"/>
          </w:p>
        </w:tc>
      </w:tr>
      <w:tr w:rsidR="000E2103" w:rsidRPr="005C3729">
        <w:tc>
          <w:tcPr>
            <w:tcW w:w="1294" w:type="dxa"/>
            <w:vMerge w:val="restart"/>
          </w:tcPr>
          <w:p w:rsidR="000E2103" w:rsidRPr="006E26E0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6E26E0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103" w:rsidRPr="005C3729" w:rsidRDefault="000E2103" w:rsidP="005C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Амінопеніциліни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, без інгібіторів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Aminopenicillins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beta-lactamase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amoxicillin ampicillin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metampicillin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Аміноглікозиди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лише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спектриноміцин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spectinomycin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spectinomycin</w:t>
            </w:r>
            <w:proofErr w:type="spellEnd"/>
          </w:p>
        </w:tc>
        <w:tc>
          <w:tcPr>
            <w:tcW w:w="4458" w:type="dxa"/>
            <w:gridSpan w:val="2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Сульфаніламіди, інгібітори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дигідрофолатредуктази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та їх комбінації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Sulfonamides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dihydrofolate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reductase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inhibitors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formosulfathiazole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phthalylsulfathiazole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sulfacetamide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sulfachlorpyridazine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sulfaclozine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sulfadiazine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sulfadimethoxine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sulfadimidine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sulfadoxine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sulfafurazole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sulfaguanidine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sulfalene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sulfamerazine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sulfamethizole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sulfamethoxazole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sulfamethoxypyridazine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sulfamonomethoxine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sulfanilamide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sulfapyridine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sulfaquinoxaline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sulfathiazole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trimethoprim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Тетрацикліни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chlortetracycline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doxycycline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oxytetracycline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  <w:proofErr w:type="spellEnd"/>
          </w:p>
        </w:tc>
        <w:tc>
          <w:tcPr>
            <w:tcW w:w="2296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Протистафілококові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пеніциліни (стійкі до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пеніциліни)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Anti-staphylococcal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beta-lactamase-resistant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cloxacillin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dicloxacillin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nafcillin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oxacillin</w:t>
            </w:r>
            <w:proofErr w:type="spellEnd"/>
          </w:p>
        </w:tc>
        <w:tc>
          <w:tcPr>
            <w:tcW w:w="4458" w:type="dxa"/>
            <w:gridSpan w:val="2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vMerge w:val="restart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Природні пеніциліни вузького спектру дії (до бета-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лактамази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-пеніцилінів)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narrow-spectrum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lactamase-sensitive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benzathine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benzylpenicillin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benzathine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phenoxymethylpenicillin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benzylpenicillin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penethamate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hydriodide</w:t>
            </w:r>
            <w:proofErr w:type="spellEnd"/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pheneticillin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phenoxymethylpenicillin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procaine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benzylpenicillin</w:t>
            </w:r>
            <w:proofErr w:type="spellEnd"/>
          </w:p>
        </w:tc>
        <w:tc>
          <w:tcPr>
            <w:tcW w:w="2128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Циклічні поліпептиди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Cyclic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polypeptides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bacitracin</w:t>
            </w:r>
            <w:proofErr w:type="spellEnd"/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Нітроімідазолди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Nitroimidazole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metronidazole</w:t>
            </w:r>
            <w:proofErr w:type="spellEnd"/>
          </w:p>
        </w:tc>
      </w:tr>
      <w:tr w:rsidR="000E2103" w:rsidRPr="005C3729">
        <w:tc>
          <w:tcPr>
            <w:tcW w:w="1294" w:type="dxa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vMerge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Стероїдні антибактеріальні засоби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Steroid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antibacterials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fusidic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2330" w:type="dxa"/>
          </w:tcPr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Похідні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нітрофуранів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Nitrofuran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derivatives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103" w:rsidRPr="005C3729" w:rsidRDefault="000E2103" w:rsidP="005C3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furaltadone</w:t>
            </w:r>
            <w:proofErr w:type="spellEnd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furazolidone</w:t>
            </w:r>
            <w:proofErr w:type="spellEnd"/>
          </w:p>
        </w:tc>
      </w:tr>
    </w:tbl>
    <w:p w:rsidR="000E2103" w:rsidRDefault="000E2103" w:rsidP="00FF3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7E7">
        <w:rPr>
          <w:rFonts w:ascii="Times New Roman" w:hAnsi="Times New Roman" w:cs="Times New Roman"/>
          <w:b/>
          <w:bCs/>
          <w:sz w:val="24"/>
          <w:szCs w:val="24"/>
        </w:rPr>
        <w:t>Інші фактори, які слід враховувати</w:t>
      </w:r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37E7">
        <w:rPr>
          <w:rFonts w:ascii="Times New Roman" w:hAnsi="Times New Roman" w:cs="Times New Roman"/>
          <w:sz w:val="24"/>
          <w:szCs w:val="24"/>
        </w:rPr>
        <w:t>оряд з категоризацією при призначенні антибіотиків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F37E7">
        <w:rPr>
          <w:rFonts w:ascii="Times New Roman" w:hAnsi="Times New Roman" w:cs="Times New Roman"/>
          <w:sz w:val="24"/>
          <w:szCs w:val="24"/>
        </w:rPr>
        <w:t xml:space="preserve">лід враховувати </w:t>
      </w:r>
      <w:r>
        <w:rPr>
          <w:rFonts w:ascii="Times New Roman" w:hAnsi="Times New Roman" w:cs="Times New Roman"/>
          <w:sz w:val="24"/>
          <w:szCs w:val="24"/>
        </w:rPr>
        <w:t>шлях (спосіб) застосування</w:t>
      </w:r>
      <w:r w:rsidRPr="00FF37E7">
        <w:rPr>
          <w:rFonts w:ascii="Times New Roman" w:hAnsi="Times New Roman" w:cs="Times New Roman"/>
          <w:sz w:val="24"/>
          <w:szCs w:val="24"/>
        </w:rPr>
        <w:t xml:space="preserve">. У наведеному нижче списку запропоновано шляхи введення та типи препаратів, що класифікуються від найнижчого до найвищого оціночного впливу на 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антибіотикорезистентність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>.</w:t>
      </w:r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hAnsi="Times New Roman" w:cs="Times New Roman"/>
          <w:sz w:val="24"/>
          <w:szCs w:val="24"/>
        </w:rPr>
        <w:t xml:space="preserve">Місцеве індивідуальне лікування (наприклад,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інтрацистернальнезастосування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, очні або вушні краплі) </w:t>
      </w:r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Парентеральне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 індивідуальне лікування (внутрішньовенно, 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внутрішньом’язово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, підшкірно) Індивідуальне пероральне лікування (тобто таблетки, пероральний 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болюс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hAnsi="Times New Roman" w:cs="Times New Roman"/>
          <w:sz w:val="24"/>
          <w:szCs w:val="24"/>
        </w:rPr>
        <w:t>Лікування ін'єкційним шляхом (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метафілаксія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), тільки якщо це належним чином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обгрунтоване</w:t>
      </w:r>
      <w:proofErr w:type="spellEnd"/>
    </w:p>
    <w:p w:rsidR="000E2103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hAnsi="Times New Roman" w:cs="Times New Roman"/>
          <w:sz w:val="24"/>
          <w:szCs w:val="24"/>
        </w:rPr>
        <w:t>Лікування пероральн</w:t>
      </w:r>
      <w:r>
        <w:rPr>
          <w:rFonts w:ascii="Times New Roman" w:hAnsi="Times New Roman" w:cs="Times New Roman"/>
          <w:sz w:val="24"/>
          <w:szCs w:val="24"/>
        </w:rPr>
        <w:t>е –</w:t>
      </w:r>
      <w:r w:rsidRPr="00FF37E7">
        <w:rPr>
          <w:rFonts w:ascii="Times New Roman" w:hAnsi="Times New Roman" w:cs="Times New Roman"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питною водою/</w:t>
      </w:r>
      <w:r w:rsidRPr="00FF37E7">
        <w:rPr>
          <w:rFonts w:ascii="Times New Roman" w:hAnsi="Times New Roman" w:cs="Times New Roman"/>
          <w:sz w:val="24"/>
          <w:szCs w:val="24"/>
        </w:rPr>
        <w:t>замінник</w:t>
      </w:r>
      <w:r>
        <w:rPr>
          <w:rFonts w:ascii="Times New Roman" w:hAnsi="Times New Roman" w:cs="Times New Roman"/>
          <w:sz w:val="24"/>
          <w:szCs w:val="24"/>
        </w:rPr>
        <w:t>ом молока</w:t>
      </w:r>
      <w:r w:rsidRPr="00FF37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метафілаксія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), лише за належних 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обгрунтованих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 препаратів </w:t>
      </w:r>
    </w:p>
    <w:p w:rsidR="000E2103" w:rsidRPr="00FF37E7" w:rsidRDefault="000E2103" w:rsidP="00A2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hAnsi="Times New Roman" w:cs="Times New Roman"/>
          <w:sz w:val="24"/>
          <w:szCs w:val="24"/>
        </w:rPr>
        <w:t>Лікування пероральн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Pr="00FF37E7">
        <w:rPr>
          <w:rFonts w:ascii="Times New Roman" w:hAnsi="Times New Roman" w:cs="Times New Roman"/>
          <w:sz w:val="24"/>
          <w:szCs w:val="24"/>
        </w:rPr>
        <w:t xml:space="preserve">групи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37E7">
        <w:rPr>
          <w:rFonts w:ascii="Times New Roman" w:hAnsi="Times New Roman" w:cs="Times New Roman"/>
          <w:sz w:val="24"/>
          <w:szCs w:val="24"/>
        </w:rPr>
        <w:t xml:space="preserve"> корм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преміксом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7E7">
        <w:rPr>
          <w:rFonts w:ascii="Times New Roman" w:hAnsi="Times New Roman" w:cs="Times New Roman"/>
          <w:sz w:val="24"/>
          <w:szCs w:val="24"/>
        </w:rPr>
        <w:t>метафілаксія</w:t>
      </w:r>
      <w:proofErr w:type="spellEnd"/>
      <w:r w:rsidRPr="00FF37E7">
        <w:rPr>
          <w:rFonts w:ascii="Times New Roman" w:hAnsi="Times New Roman" w:cs="Times New Roman"/>
          <w:sz w:val="24"/>
          <w:szCs w:val="24"/>
        </w:rPr>
        <w:t>), тільки якщо це належним чином виправдано</w:t>
      </w:r>
    </w:p>
    <w:sectPr w:rsidR="000E2103" w:rsidRPr="00FF37E7" w:rsidSect="00320A5E">
      <w:pgSz w:w="11906" w:h="16838"/>
      <w:pgMar w:top="851" w:right="45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E"/>
    <w:rsid w:val="00050D68"/>
    <w:rsid w:val="00090F76"/>
    <w:rsid w:val="000C0512"/>
    <w:rsid w:val="000E2103"/>
    <w:rsid w:val="00142009"/>
    <w:rsid w:val="00281BA2"/>
    <w:rsid w:val="002F71F0"/>
    <w:rsid w:val="00320A5E"/>
    <w:rsid w:val="00523CA0"/>
    <w:rsid w:val="005C3729"/>
    <w:rsid w:val="006E26E0"/>
    <w:rsid w:val="007447EF"/>
    <w:rsid w:val="007A407D"/>
    <w:rsid w:val="007D034A"/>
    <w:rsid w:val="007F0548"/>
    <w:rsid w:val="008D2B85"/>
    <w:rsid w:val="009D1EB5"/>
    <w:rsid w:val="00A26B8E"/>
    <w:rsid w:val="00AF7E82"/>
    <w:rsid w:val="00B17246"/>
    <w:rsid w:val="00B35E32"/>
    <w:rsid w:val="00C129D1"/>
    <w:rsid w:val="00C403B1"/>
    <w:rsid w:val="00CD664C"/>
    <w:rsid w:val="00DB7739"/>
    <w:rsid w:val="00DE29BF"/>
    <w:rsid w:val="00E867A1"/>
    <w:rsid w:val="00F22718"/>
    <w:rsid w:val="00F24EBF"/>
    <w:rsid w:val="00FC38C7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66E89-F6D0-4260-AAB3-0FA2D07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B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7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7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Natalia_Ostapiv</dc:creator>
  <cp:keywords/>
  <dc:description/>
  <cp:lastModifiedBy>Користувач</cp:lastModifiedBy>
  <cp:revision>2</cp:revision>
  <dcterms:created xsi:type="dcterms:W3CDTF">2020-10-09T09:33:00Z</dcterms:created>
  <dcterms:modified xsi:type="dcterms:W3CDTF">2020-10-09T09:33:00Z</dcterms:modified>
</cp:coreProperties>
</file>