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2EAC" w:rsidRDefault="00CE2EAC" w:rsidP="00CE2EAC">
      <w:r>
        <w:tab/>
        <w:t>За звітний період перевірено 205 суб’єктів господарювання щодо дотримання вимог законодавства про заходи щодо попередження та зменшення вживання тютюнових виробів та їх шкідливого впливу на здоров’я населення. Порушення встановлені у  46,3 % перевіреної кількості.</w:t>
      </w:r>
    </w:p>
    <w:p w:rsidR="00CE2EAC" w:rsidRDefault="00CE2EAC" w:rsidP="00CE2EAC">
      <w:r>
        <w:tab/>
        <w:t>Всього в ході перевірок виявлено такі порушення, в тому числі (у відсотках від всіх виявлених порушень):</w:t>
      </w:r>
    </w:p>
    <w:p w:rsidR="00CE2EAC" w:rsidRDefault="00CE2EAC" w:rsidP="00CE2EAC">
      <w:r>
        <w:tab/>
        <w:t>- розміщення попільничок або куріння у приміщеннях  закладів ресторанного господарства – 74,0 %;</w:t>
      </w:r>
    </w:p>
    <w:p w:rsidR="00CE2EAC" w:rsidRDefault="00CE2EAC" w:rsidP="00CE2EAC">
      <w:r>
        <w:tab/>
        <w:t>- не відведення спеціальних місць для куріння, не обладнання їх витяжною вентиляцією чи іншими засобами для видалення тютюнового диму, нерозміщення інформації, передбаченої ч. 5 ст. 13 – 9,0 %;</w:t>
      </w:r>
    </w:p>
    <w:p w:rsidR="00CE2EAC" w:rsidRDefault="00CE2EAC" w:rsidP="00CE2EAC">
      <w:r>
        <w:tab/>
        <w:t>-</w:t>
      </w:r>
      <w:bookmarkStart w:id="0" w:name="_GoBack"/>
      <w:bookmarkEnd w:id="0"/>
      <w:r>
        <w:t xml:space="preserve"> порушення щодо заборони реклами, стимулювання продажу та спонсорства тютюнових виробів – 17,0 %.</w:t>
      </w:r>
    </w:p>
    <w:p w:rsidR="00CE2EAC" w:rsidRDefault="00CE2EAC" w:rsidP="00CE2EAC">
      <w:r>
        <w:tab/>
      </w:r>
      <w:r>
        <w:t xml:space="preserve">До 81 підприємства, що порушили вимоги законодавства про заходи щодо попередження та зменшення вживання тютюнових виробів та їх шкідливого впливу на здоров’я населення, застосовано фінансових санкції на суму 581,0 тис. грн. </w:t>
      </w:r>
    </w:p>
    <w:p w:rsidR="00CE2EAC" w:rsidRDefault="00CE2EAC" w:rsidP="00CE2EAC">
      <w:r>
        <w:tab/>
      </w:r>
      <w:r>
        <w:t xml:space="preserve">Порушниками законодавства про заходи щодо попередження та зменшення вживання тютюнових виробів та їх шкідливого впливу на здоров’я населення у добровільному порядку сплачено штрафних санкцій на загальну суму 120,0 тис. грн. Наразі у судовому порядку стягується фінансових санкцій на суму 528,0 тис. грн. </w:t>
      </w:r>
    </w:p>
    <w:p w:rsidR="00CE2EAC" w:rsidRDefault="00CE2EAC" w:rsidP="00CE2EAC">
      <w:r>
        <w:tab/>
      </w:r>
      <w:r>
        <w:t xml:space="preserve">Протягом 2020 року територіальними органами Держпродспоживслужби розглянуто 246 пропозицій, скарг та заяв від громадян щодо виконання суб’єктами господарювання антитютюнового законодавства. </w:t>
      </w:r>
    </w:p>
    <w:p w:rsidR="00CE2EAC" w:rsidRDefault="00CE2EAC" w:rsidP="00CE2EAC"/>
    <w:p w:rsidR="00CE2EAC" w:rsidRDefault="00CE2EAC" w:rsidP="00CE2EAC"/>
    <w:p w:rsidR="00CE2EAC" w:rsidRDefault="00CE2EAC" w:rsidP="00CE2EAC">
      <w:r>
        <w:tab/>
      </w:r>
      <w:r>
        <w:t>За 2020 рік досліджено 19,5 тис. рекламоносі</w:t>
      </w:r>
      <w:r>
        <w:t>їв, в тому числі 12,1 тис. – об’єктів</w:t>
      </w:r>
      <w:r>
        <w:t xml:space="preserve"> зовнішньої реклами, 3,1 тис. – об’єктів внутрішньої реклами; 2,3 - у друкованих засобах масової інформації, 0,9 тис. –  на каналах телебачення та радіо та 1,1 тис. на транспорті.</w:t>
      </w:r>
    </w:p>
    <w:p w:rsidR="00CE2EAC" w:rsidRDefault="00CE2EAC" w:rsidP="00CE2EAC">
      <w:r>
        <w:tab/>
      </w:r>
      <w:r>
        <w:t xml:space="preserve">За результатами проведеного контролю виявлено 2068 порушень, у тому числі 1626 – у сфері зовнішньої реклами, 309 – у сфері внутрішньої реклами; 36 – на телебаченні та радіо, 60 – у друкованих засобах масової інформації та 37 - на транспорті. </w:t>
      </w:r>
    </w:p>
    <w:p w:rsidR="00CE2EAC" w:rsidRDefault="00CE2EAC" w:rsidP="00CE2EAC">
      <w:r>
        <w:tab/>
      </w:r>
      <w:r>
        <w:t xml:space="preserve">Найбільше порушень вчинено при розповсюдженні реклами алкогольних напоїв та тютюнових виробів – 231. </w:t>
      </w:r>
    </w:p>
    <w:p w:rsidR="00CE2EAC" w:rsidRDefault="00CE2EAC" w:rsidP="00CE2EAC">
      <w:r>
        <w:tab/>
      </w:r>
      <w:r>
        <w:t>За результатами розгляду справ Держпродспоживслужбою та її  територіальними органами накладено штрафних санкцій на суму 4,12 млн. грн, прийнято 54 рішень про визнання реклами недобросовісною, прихованою та 233 рішень про зупинення розповсюдження реклами.</w:t>
      </w:r>
    </w:p>
    <w:p w:rsidR="00CE2EAC" w:rsidRDefault="00CE2EAC" w:rsidP="00CE2EAC">
      <w:r>
        <w:tab/>
      </w:r>
      <w:r>
        <w:t xml:space="preserve">Порушниками законодавства про рекламу у добровільному порядку сплачено штрафних санкцій на суму 1,71 млн. грн. Стягнуто у судовому порядку – 419,26 тис. грн. </w:t>
      </w:r>
    </w:p>
    <w:p w:rsidR="00CE2EAC" w:rsidRDefault="00CE2EAC" w:rsidP="00CE2EAC">
      <w:r>
        <w:lastRenderedPageBreak/>
        <w:tab/>
      </w:r>
      <w:r>
        <w:t>Розглянуто 859 подань державних органів і органів місцевого самоврядування та звернень споживачів реклами, з них: 203 - звернення від споживачів реклами та 656 – від органів державної влади та місцевого самоврядування.</w:t>
      </w:r>
    </w:p>
    <w:p w:rsidR="002D748B" w:rsidRDefault="00CE2EAC" w:rsidP="00CE2EAC">
      <w:r>
        <w:tab/>
      </w:r>
      <w:r>
        <w:t xml:space="preserve">156 разів представники територіальних органів Держпродспоживслужби через засоби </w:t>
      </w:r>
      <w:r>
        <w:t>масової інформації надавали роз’яснення</w:t>
      </w:r>
      <w:r>
        <w:t xml:space="preserve"> щодо питань захисту прав споживачів у сфері реклами.</w:t>
      </w:r>
    </w:p>
    <w:sectPr w:rsidR="002D748B" w:rsidSect="001B2972">
      <w:pgSz w:w="11906" w:h="16838" w:code="9"/>
      <w:pgMar w:top="1134" w:right="567" w:bottom="1134" w:left="1701" w:header="0" w:footer="6"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56F"/>
    <w:rsid w:val="001B2972"/>
    <w:rsid w:val="002D748B"/>
    <w:rsid w:val="00375016"/>
    <w:rsid w:val="004E556F"/>
    <w:rsid w:val="00A531A9"/>
    <w:rsid w:val="00CE2EAC"/>
    <w:rsid w:val="00D671C9"/>
    <w:rsid w:val="00F4702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24175"/>
  <w15:chartTrackingRefBased/>
  <w15:docId w15:val="{DAA75F2A-AB10-410B-A657-22D241D3B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uk-UA"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1853</Words>
  <Characters>1057</Characters>
  <Application>Microsoft Office Word</Application>
  <DocSecurity>0</DocSecurity>
  <Lines>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dc:creator>
  <cp:keywords/>
  <dc:description/>
  <cp:lastModifiedBy>Користувач</cp:lastModifiedBy>
  <cp:revision>2</cp:revision>
  <dcterms:created xsi:type="dcterms:W3CDTF">2021-01-25T10:59:00Z</dcterms:created>
  <dcterms:modified xsi:type="dcterms:W3CDTF">2021-01-25T11:00:00Z</dcterms:modified>
</cp:coreProperties>
</file>