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36A8" w14:textId="77777777" w:rsidR="00B12CE3" w:rsidRPr="00D81749" w:rsidRDefault="00B12CE3" w:rsidP="00DD1AD7">
      <w:pPr>
        <w:pStyle w:val="a3"/>
        <w:rPr>
          <w:color w:val="000000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689"/>
      </w:tblGrid>
      <w:tr w:rsidR="00B12CE3" w:rsidRPr="00D81749" w14:paraId="4ECACA88" w14:textId="77777777" w:rsidTr="00BB7401">
        <w:tc>
          <w:tcPr>
            <w:tcW w:w="5000" w:type="pct"/>
          </w:tcPr>
          <w:p w14:paraId="690DBAF9" w14:textId="77777777" w:rsidR="00B12CE3" w:rsidRPr="00D81749" w:rsidRDefault="00B12CE3">
            <w:pPr>
              <w:pStyle w:val="a3"/>
              <w:rPr>
                <w:color w:val="000000"/>
                <w:lang w:val="uk-UA"/>
              </w:rPr>
            </w:pPr>
            <w:r w:rsidRPr="00D81749">
              <w:rPr>
                <w:color w:val="000000"/>
                <w:lang w:val="uk-UA"/>
              </w:rPr>
              <w:t>ЗАТВЕРДЖЕНО</w:t>
            </w:r>
            <w:r w:rsidRPr="00D81749">
              <w:rPr>
                <w:color w:val="000000"/>
                <w:lang w:val="uk-UA"/>
              </w:rPr>
              <w:br/>
              <w:t>Наказ Міністерства розвитку економіки, торгівлі та сільського господарства України</w:t>
            </w:r>
            <w:r w:rsidRPr="00D81749">
              <w:rPr>
                <w:color w:val="000000"/>
                <w:lang w:val="uk-UA"/>
              </w:rPr>
              <w:br/>
              <w:t xml:space="preserve">14 липня 2020 року </w:t>
            </w:r>
            <w:r w:rsidR="00193855">
              <w:rPr>
                <w:color w:val="000000"/>
                <w:lang w:val="uk-UA"/>
              </w:rPr>
              <w:t>№</w:t>
            </w:r>
            <w:r w:rsidRPr="00D81749">
              <w:rPr>
                <w:color w:val="000000"/>
                <w:lang w:val="uk-UA"/>
              </w:rPr>
              <w:t xml:space="preserve"> 1329</w:t>
            </w:r>
          </w:p>
        </w:tc>
      </w:tr>
    </w:tbl>
    <w:p w14:paraId="54C8A8B5" w14:textId="77777777" w:rsidR="00B12CE3" w:rsidRPr="00D81749" w:rsidRDefault="00B12CE3">
      <w:pPr>
        <w:pStyle w:val="a3"/>
        <w:jc w:val="both"/>
        <w:rPr>
          <w:color w:val="000000"/>
          <w:lang w:val="uk-UA"/>
        </w:rPr>
      </w:pPr>
      <w:r w:rsidRPr="00D81749">
        <w:rPr>
          <w:color w:val="000000"/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689"/>
      </w:tblGrid>
      <w:tr w:rsidR="00B12CE3" w:rsidRPr="00D81749" w14:paraId="7885CF9B" w14:textId="77777777" w:rsidTr="00EB172F">
        <w:tc>
          <w:tcPr>
            <w:tcW w:w="5000" w:type="pct"/>
          </w:tcPr>
          <w:p w14:paraId="30FD17C6" w14:textId="77777777" w:rsidR="00B12CE3" w:rsidRPr="00D81749" w:rsidRDefault="00B12CE3">
            <w:pPr>
              <w:pStyle w:val="a3"/>
              <w:rPr>
                <w:color w:val="000000"/>
                <w:lang w:val="uk-UA"/>
              </w:rPr>
            </w:pPr>
            <w:r w:rsidRPr="00D81749">
              <w:rPr>
                <w:color w:val="000000"/>
                <w:lang w:val="uk-UA"/>
              </w:rPr>
              <w:t>ЗАТВЕРДЖЕНО</w:t>
            </w:r>
            <w:r w:rsidRPr="00D81749">
              <w:rPr>
                <w:color w:val="000000"/>
                <w:lang w:val="uk-UA"/>
              </w:rPr>
              <w:br/>
              <w:t>Наказ Міністерства розвитку економіки, торгівлі та сільського господарства України</w:t>
            </w:r>
            <w:r w:rsidRPr="00D81749">
              <w:rPr>
                <w:color w:val="000000"/>
                <w:lang w:val="uk-UA"/>
              </w:rPr>
              <w:br/>
              <w:t xml:space="preserve">14 липня 2020 року </w:t>
            </w:r>
            <w:r w:rsidR="00193855">
              <w:rPr>
                <w:color w:val="000000"/>
                <w:lang w:val="uk-UA"/>
              </w:rPr>
              <w:t>№</w:t>
            </w:r>
            <w:r w:rsidRPr="00D81749">
              <w:rPr>
                <w:color w:val="000000"/>
                <w:lang w:val="uk-UA"/>
              </w:rPr>
              <w:t xml:space="preserve"> 1329</w:t>
            </w:r>
          </w:p>
        </w:tc>
      </w:tr>
    </w:tbl>
    <w:p w14:paraId="407A74DB" w14:textId="77777777" w:rsidR="00B12CE3" w:rsidRPr="00D81749" w:rsidRDefault="00B12CE3">
      <w:pPr>
        <w:pStyle w:val="a3"/>
        <w:jc w:val="both"/>
        <w:rPr>
          <w:color w:val="000000"/>
          <w:lang w:val="uk-UA"/>
        </w:rPr>
      </w:pPr>
      <w:r w:rsidRPr="00D81749">
        <w:rPr>
          <w:color w:val="000000"/>
          <w:lang w:val="uk-UA"/>
        </w:rPr>
        <w:br w:type="textWrapping" w:clear="all"/>
      </w:r>
    </w:p>
    <w:p w14:paraId="34E1BFAA" w14:textId="77777777" w:rsidR="00B12CE3" w:rsidRPr="00EB172F" w:rsidRDefault="00EB172F">
      <w:pPr>
        <w:pStyle w:val="3"/>
        <w:jc w:val="center"/>
        <w:rPr>
          <w:b w:val="0"/>
          <w:color w:val="000000"/>
          <w:lang w:val="uk-UA"/>
        </w:rPr>
      </w:pPr>
      <w:r w:rsidRPr="00D81749">
        <w:rPr>
          <w:color w:val="000000"/>
          <w:lang w:val="uk-UA"/>
        </w:rPr>
        <w:t>ФОРМА</w:t>
      </w:r>
      <w:r>
        <w:rPr>
          <w:color w:val="000000"/>
          <w:lang w:val="uk-UA"/>
        </w:rPr>
        <w:br/>
      </w:r>
      <w:r w:rsidR="00B12CE3" w:rsidRPr="00D81749">
        <w:rPr>
          <w:color w:val="000000"/>
          <w:lang w:val="uk-UA"/>
        </w:rPr>
        <w:t xml:space="preserve"> міжнародного сертифіката для ввезення (пересилання) на митну територію України риб'ячого жиру</w:t>
      </w:r>
      <w:r w:rsidR="00B12CE3" w:rsidRPr="00D81749">
        <w:rPr>
          <w:color w:val="000000"/>
          <w:vertAlign w:val="superscript"/>
          <w:lang w:val="uk-UA"/>
        </w:rPr>
        <w:t xml:space="preserve"> (1)</w:t>
      </w:r>
      <w:r w:rsidR="00B12CE3" w:rsidRPr="00D81749">
        <w:rPr>
          <w:color w:val="000000"/>
          <w:lang w:val="uk-UA"/>
        </w:rPr>
        <w:t xml:space="preserve">, призначеного для використання як кормовий матеріал або для використання за межами кормового ланцюга / </w:t>
      </w:r>
      <w:r>
        <w:rPr>
          <w:color w:val="000000"/>
          <w:lang w:val="uk-UA"/>
        </w:rPr>
        <w:br/>
      </w:r>
      <w:r>
        <w:rPr>
          <w:color w:val="000000"/>
          <w:lang w:val="uk-UA"/>
        </w:rPr>
        <w:br/>
      </w:r>
      <w:proofErr w:type="spellStart"/>
      <w:r w:rsidR="00B12CE3" w:rsidRPr="00EB172F">
        <w:rPr>
          <w:b w:val="0"/>
          <w:color w:val="000000"/>
          <w:lang w:val="uk-UA"/>
        </w:rPr>
        <w:t>Form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of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International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Certificate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r w:rsidRPr="00EB172F">
        <w:rPr>
          <w:b w:val="0"/>
          <w:color w:val="000000"/>
          <w:lang w:val="uk-UA"/>
        </w:rPr>
        <w:br/>
      </w:r>
      <w:proofErr w:type="spellStart"/>
      <w:r w:rsidR="00B12CE3" w:rsidRPr="00EB172F">
        <w:rPr>
          <w:b w:val="0"/>
          <w:color w:val="000000"/>
          <w:lang w:val="uk-UA"/>
        </w:rPr>
        <w:t>for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introduction</w:t>
      </w:r>
      <w:proofErr w:type="spellEnd"/>
      <w:r w:rsidR="00B12CE3" w:rsidRPr="00EB172F">
        <w:rPr>
          <w:b w:val="0"/>
          <w:color w:val="000000"/>
          <w:lang w:val="uk-UA"/>
        </w:rPr>
        <w:t xml:space="preserve"> (</w:t>
      </w:r>
      <w:proofErr w:type="spellStart"/>
      <w:r w:rsidR="00B12CE3" w:rsidRPr="00EB172F">
        <w:rPr>
          <w:b w:val="0"/>
          <w:color w:val="000000"/>
          <w:lang w:val="uk-UA"/>
        </w:rPr>
        <w:t>sending</w:t>
      </w:r>
      <w:proofErr w:type="spellEnd"/>
      <w:r w:rsidR="00B12CE3" w:rsidRPr="00EB172F">
        <w:rPr>
          <w:b w:val="0"/>
          <w:color w:val="000000"/>
          <w:lang w:val="uk-UA"/>
        </w:rPr>
        <w:t xml:space="preserve">) </w:t>
      </w:r>
      <w:proofErr w:type="spellStart"/>
      <w:r w:rsidR="00B12CE3" w:rsidRPr="00EB172F">
        <w:rPr>
          <w:b w:val="0"/>
          <w:color w:val="000000"/>
          <w:lang w:val="uk-UA"/>
        </w:rPr>
        <w:t>to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the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customs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territory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of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Ukraine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of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fish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oil</w:t>
      </w:r>
      <w:proofErr w:type="spellEnd"/>
      <w:r w:rsidR="00B12CE3" w:rsidRPr="00EB172F">
        <w:rPr>
          <w:b w:val="0"/>
          <w:color w:val="000000"/>
          <w:vertAlign w:val="superscript"/>
          <w:lang w:val="uk-UA"/>
        </w:rPr>
        <w:t xml:space="preserve"> (1)</w:t>
      </w:r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intended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for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use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as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feed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material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or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for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purposes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outside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the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feed</w:t>
      </w:r>
      <w:proofErr w:type="spellEnd"/>
      <w:r w:rsidR="00B12CE3" w:rsidRPr="00EB172F">
        <w:rPr>
          <w:b w:val="0"/>
          <w:color w:val="000000"/>
          <w:lang w:val="uk-UA"/>
        </w:rPr>
        <w:t xml:space="preserve"> </w:t>
      </w:r>
      <w:proofErr w:type="spellStart"/>
      <w:r w:rsidR="00B12CE3" w:rsidRPr="00EB172F">
        <w:rPr>
          <w:b w:val="0"/>
          <w:color w:val="000000"/>
          <w:lang w:val="uk-UA"/>
        </w:rPr>
        <w:t>chain</w:t>
      </w:r>
      <w:proofErr w:type="spellEnd"/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12CE3" w:rsidRPr="00D81749" w14:paraId="5695D4EB" w14:textId="77777777" w:rsidTr="00EB172F">
        <w:tc>
          <w:tcPr>
            <w:tcW w:w="5000" w:type="pct"/>
          </w:tcPr>
          <w:p w14:paraId="5382A8E2" w14:textId="77777777" w:rsidR="00B12CE3" w:rsidRPr="00D81749" w:rsidRDefault="00B12CE3">
            <w:pPr>
              <w:pStyle w:val="a3"/>
              <w:rPr>
                <w:color w:val="000000"/>
                <w:lang w:val="uk-UA"/>
              </w:rPr>
            </w:pPr>
            <w:r w:rsidRPr="00D81749">
              <w:rPr>
                <w:b/>
                <w:bCs/>
                <w:color w:val="000000"/>
                <w:lang w:val="uk-UA"/>
              </w:rPr>
              <w:t xml:space="preserve">Країна-експортер / </w:t>
            </w:r>
            <w:proofErr w:type="spellStart"/>
            <w:r w:rsidRPr="00D81749">
              <w:rPr>
                <w:b/>
                <w:bCs/>
                <w:color w:val="000000"/>
                <w:lang w:val="uk-UA"/>
              </w:rPr>
              <w:t>Exporting</w:t>
            </w:r>
            <w:proofErr w:type="spellEnd"/>
            <w:r w:rsidRPr="00D81749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D81749">
              <w:rPr>
                <w:b/>
                <w:bCs/>
                <w:color w:val="000000"/>
                <w:lang w:val="uk-UA"/>
              </w:rPr>
              <w:t>country</w:t>
            </w:r>
            <w:proofErr w:type="spellEnd"/>
          </w:p>
        </w:tc>
      </w:tr>
    </w:tbl>
    <w:p w14:paraId="4D162E03" w14:textId="77777777" w:rsidR="00B12CE3" w:rsidRPr="00D81749" w:rsidRDefault="00B12CE3">
      <w:pPr>
        <w:rPr>
          <w:color w:val="000000"/>
          <w:lang w:val="uk-UA"/>
        </w:rPr>
      </w:pPr>
    </w:p>
    <w:p w14:paraId="66EFFF7B" w14:textId="77777777" w:rsidR="00B12CE3" w:rsidRPr="00D81749" w:rsidRDefault="00B12CE3">
      <w:pPr>
        <w:pStyle w:val="a3"/>
        <w:jc w:val="center"/>
        <w:rPr>
          <w:color w:val="000000"/>
          <w:lang w:val="uk-UA"/>
        </w:rPr>
      </w:pPr>
      <w:r w:rsidRPr="00D81749">
        <w:rPr>
          <w:color w:val="000000"/>
          <w:lang w:val="uk-UA"/>
        </w:rPr>
        <w:t> </w:t>
      </w:r>
      <w:r w:rsidR="00407B01" w:rsidRPr="00D81749">
        <w:rPr>
          <w:color w:val="000000"/>
          <w:lang w:val="uk-UA"/>
        </w:rPr>
        <w:fldChar w:fldCharType="begin"/>
      </w:r>
      <w:r w:rsidR="00721802">
        <w:rPr>
          <w:color w:val="000000"/>
          <w:lang w:val="uk-UA"/>
        </w:rPr>
        <w:instrText xml:space="preserve"> INCLUDEPICTURE "C:\\AvisFB\\temp\\RE34970_IMG_193.GIF" \* MERGEFORMAT </w:instrText>
      </w:r>
      <w:r w:rsidR="00407B01" w:rsidRPr="00D81749">
        <w:rPr>
          <w:color w:val="000000"/>
          <w:lang w:val="uk-UA"/>
        </w:rPr>
        <w:fldChar w:fldCharType="separate"/>
      </w:r>
      <w:r w:rsidR="00EB172F" w:rsidRPr="00D81749">
        <w:rPr>
          <w:color w:val="000000"/>
          <w:lang w:val="uk-UA"/>
        </w:rPr>
        <w:pict w14:anchorId="25444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246.75pt">
            <v:imagedata r:id="rId4" r:href="rId5"/>
          </v:shape>
        </w:pict>
      </w:r>
      <w:r w:rsidR="00407B01" w:rsidRPr="00D81749">
        <w:rPr>
          <w:color w:val="000000"/>
          <w:lang w:val="uk-UA"/>
        </w:rPr>
        <w:fldChar w:fldCharType="end"/>
      </w:r>
    </w:p>
    <w:p w14:paraId="2028FC16" w14:textId="77777777" w:rsidR="00B12CE3" w:rsidRPr="00D81749" w:rsidRDefault="00B12CE3">
      <w:pPr>
        <w:pStyle w:val="a3"/>
        <w:jc w:val="center"/>
        <w:rPr>
          <w:color w:val="000000"/>
          <w:lang w:val="uk-UA"/>
        </w:rPr>
      </w:pPr>
      <w:r w:rsidRPr="00D81749">
        <w:rPr>
          <w:color w:val="000000"/>
          <w:lang w:val="uk-UA"/>
        </w:rPr>
        <w:lastRenderedPageBreak/>
        <w:t> </w:t>
      </w:r>
      <w:r w:rsidR="00407B01" w:rsidRPr="00D81749">
        <w:rPr>
          <w:color w:val="000000"/>
          <w:lang w:val="uk-UA"/>
        </w:rPr>
        <w:fldChar w:fldCharType="begin"/>
      </w:r>
      <w:r w:rsidR="00721802">
        <w:rPr>
          <w:color w:val="000000"/>
          <w:lang w:val="uk-UA"/>
        </w:rPr>
        <w:instrText xml:space="preserve"> INCLUDEPICTURE "C:\\AvisFB\\temp\\Re34970_IMG_291.gif" \* MERGEFORMAT </w:instrText>
      </w:r>
      <w:r w:rsidR="00407B01" w:rsidRPr="00D81749">
        <w:rPr>
          <w:color w:val="000000"/>
          <w:lang w:val="uk-UA"/>
        </w:rPr>
        <w:fldChar w:fldCharType="separate"/>
      </w:r>
      <w:r w:rsidR="00EB172F" w:rsidRPr="00D81749">
        <w:rPr>
          <w:color w:val="000000"/>
          <w:lang w:val="uk-UA"/>
        </w:rPr>
        <w:pict w14:anchorId="46C2D842">
          <v:shape id="_x0000_i1026" type="#_x0000_t75" style="width:507.75pt;height:682.5pt">
            <v:imagedata r:id="rId6" r:href="rId7"/>
          </v:shape>
        </w:pict>
      </w:r>
      <w:r w:rsidR="00407B01" w:rsidRPr="00D81749">
        <w:rPr>
          <w:color w:val="000000"/>
          <w:lang w:val="uk-UA"/>
        </w:rPr>
        <w:fldChar w:fldCharType="end"/>
      </w:r>
    </w:p>
    <w:p w14:paraId="5F5B88C5" w14:textId="77777777" w:rsidR="00B12CE3" w:rsidRPr="00D81749" w:rsidRDefault="00B12CE3">
      <w:pPr>
        <w:pStyle w:val="a3"/>
        <w:jc w:val="center"/>
        <w:rPr>
          <w:color w:val="000000"/>
          <w:lang w:val="uk-UA"/>
        </w:rPr>
      </w:pPr>
      <w:r w:rsidRPr="00D81749">
        <w:rPr>
          <w:color w:val="000000"/>
          <w:lang w:val="uk-UA"/>
        </w:rPr>
        <w:lastRenderedPageBreak/>
        <w:t> </w:t>
      </w:r>
      <w:r w:rsidR="00407B01" w:rsidRPr="00D81749">
        <w:rPr>
          <w:color w:val="000000"/>
          <w:lang w:val="uk-UA"/>
        </w:rPr>
        <w:fldChar w:fldCharType="begin"/>
      </w:r>
      <w:r w:rsidR="00721802">
        <w:rPr>
          <w:color w:val="000000"/>
          <w:lang w:val="uk-UA"/>
        </w:rPr>
        <w:instrText xml:space="preserve"> INCLUDEPICTURE "C:\\AvisFB\\temp\\Re34970_IMG_292.gif" \* MERGEFORMAT </w:instrText>
      </w:r>
      <w:r w:rsidR="00407B01" w:rsidRPr="00D81749">
        <w:rPr>
          <w:color w:val="000000"/>
          <w:lang w:val="uk-UA"/>
        </w:rPr>
        <w:fldChar w:fldCharType="separate"/>
      </w:r>
      <w:r w:rsidR="00EB172F" w:rsidRPr="00D81749">
        <w:rPr>
          <w:color w:val="000000"/>
          <w:lang w:val="uk-UA"/>
        </w:rPr>
        <w:pict w14:anchorId="3BEF4181">
          <v:shape id="_x0000_i1027" type="#_x0000_t75" style="width:507pt;height:680.25pt">
            <v:imagedata r:id="rId8" r:href="rId9"/>
          </v:shape>
        </w:pict>
      </w:r>
      <w:r w:rsidR="00407B01" w:rsidRPr="00D81749">
        <w:rPr>
          <w:color w:val="000000"/>
          <w:lang w:val="uk-UA"/>
        </w:rPr>
        <w:fldChar w:fldCharType="end"/>
      </w:r>
    </w:p>
    <w:p w14:paraId="559AD0EC" w14:textId="77777777" w:rsidR="00B12CE3" w:rsidRPr="00D81749" w:rsidRDefault="00B12CE3">
      <w:pPr>
        <w:pStyle w:val="a3"/>
        <w:jc w:val="center"/>
        <w:rPr>
          <w:color w:val="000000"/>
          <w:lang w:val="uk-UA"/>
        </w:rPr>
      </w:pPr>
      <w:r w:rsidRPr="00D81749">
        <w:rPr>
          <w:color w:val="000000"/>
          <w:lang w:val="uk-UA"/>
        </w:rPr>
        <w:lastRenderedPageBreak/>
        <w:t> </w:t>
      </w:r>
      <w:r w:rsidR="00407B01" w:rsidRPr="00D81749">
        <w:rPr>
          <w:color w:val="000000"/>
          <w:lang w:val="uk-UA"/>
        </w:rPr>
        <w:fldChar w:fldCharType="begin"/>
      </w:r>
      <w:r w:rsidR="00721802">
        <w:rPr>
          <w:color w:val="000000"/>
          <w:lang w:val="uk-UA"/>
        </w:rPr>
        <w:instrText xml:space="preserve"> INCLUDEPICTURE "C:\\AvisFB\\temp\\RE34970_IMG_196.GIF" \* MERGEFORMAT </w:instrText>
      </w:r>
      <w:r w:rsidR="00407B01" w:rsidRPr="00D81749">
        <w:rPr>
          <w:color w:val="000000"/>
          <w:lang w:val="uk-UA"/>
        </w:rPr>
        <w:fldChar w:fldCharType="separate"/>
      </w:r>
      <w:r w:rsidR="00C22BE8" w:rsidRPr="00D81749">
        <w:rPr>
          <w:color w:val="000000"/>
          <w:lang w:val="uk-UA"/>
        </w:rPr>
        <w:pict w14:anchorId="64B0D06C">
          <v:shape id="_x0000_i1028" type="#_x0000_t75" style="width:511.5pt;height:603.75pt">
            <v:imagedata r:id="rId10" r:href="rId11"/>
          </v:shape>
        </w:pict>
      </w:r>
      <w:r w:rsidR="00407B01" w:rsidRPr="00D81749">
        <w:rPr>
          <w:color w:val="000000"/>
          <w:lang w:val="uk-UA"/>
        </w:rPr>
        <w:fldChar w:fldCharType="end"/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5250"/>
      </w:tblGrid>
      <w:tr w:rsidR="00B12CE3" w:rsidRPr="00BA3B1F" w14:paraId="4D9E0148" w14:textId="77777777" w:rsidTr="00BA3B1F">
        <w:tc>
          <w:tcPr>
            <w:tcW w:w="5000" w:type="pct"/>
            <w:gridSpan w:val="2"/>
            <w:shd w:val="clear" w:color="auto" w:fill="auto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718"/>
              <w:gridCol w:w="1134"/>
              <w:gridCol w:w="8432"/>
            </w:tblGrid>
            <w:tr w:rsidR="00B12CE3" w:rsidRPr="00D81749" w14:paraId="74B6CA77" w14:textId="77777777" w:rsidTr="00EB172F">
              <w:tc>
                <w:tcPr>
                  <w:tcW w:w="350" w:type="pct"/>
                </w:tcPr>
                <w:p w14:paraId="2F4DC208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color w:val="000000"/>
                      <w:lang w:val="uk-UA"/>
                    </w:rPr>
                    <w:t> </w:t>
                  </w:r>
                </w:p>
              </w:tc>
              <w:tc>
                <w:tcPr>
                  <w:tcW w:w="550" w:type="pct"/>
                </w:tcPr>
                <w:p w14:paraId="55196DA5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vertAlign w:val="superscript"/>
                      <w:lang w:val="uk-UA"/>
                    </w:rPr>
                    <w:t>(2)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та/або/</w:t>
                  </w:r>
                  <w:r w:rsidRPr="00D81749">
                    <w:rPr>
                      <w:color w:val="000000"/>
                      <w:lang w:val="uk-UA"/>
                    </w:rPr>
                    <w:br/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/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</w:p>
              </w:tc>
              <w:tc>
                <w:tcPr>
                  <w:tcW w:w="4100" w:type="pct"/>
                </w:tcPr>
                <w:p w14:paraId="4B902A62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[продукти тваринного походження або харчові продукти, що містять продукти тваринного походження, не призначені для споживання людиною у зв'язку із комерційними цілями або внаслідок виробничих, пакувальних чи інших дефектів, які не становлять загрози для здоров'я людей і тварин]</w:t>
                  </w:r>
                  <w:r w:rsidRPr="00D81749">
                    <w:rPr>
                      <w:color w:val="000000"/>
                      <w:lang w:val="uk-UA"/>
                    </w:rPr>
                    <w:t xml:space="preserve"> / [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origin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foodstuffs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containing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origin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which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are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longer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intended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human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consumption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commercial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reasons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due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problems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manufacturing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packaging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defects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defects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from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which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risk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public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health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arise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];</w:t>
                  </w:r>
                </w:p>
              </w:tc>
            </w:tr>
            <w:tr w:rsidR="00B12CE3" w:rsidRPr="00D81749" w14:paraId="4C26570C" w14:textId="77777777" w:rsidTr="00EB172F">
              <w:tc>
                <w:tcPr>
                  <w:tcW w:w="350" w:type="pct"/>
                </w:tcPr>
                <w:p w14:paraId="23822168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color w:val="000000"/>
                      <w:lang w:val="uk-UA"/>
                    </w:rPr>
                    <w:t> </w:t>
                  </w:r>
                </w:p>
              </w:tc>
              <w:tc>
                <w:tcPr>
                  <w:tcW w:w="550" w:type="pct"/>
                </w:tcPr>
                <w:p w14:paraId="52485518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vertAlign w:val="superscript"/>
                      <w:lang w:val="uk-UA"/>
                    </w:rPr>
                    <w:t>(2)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та/або/</w:t>
                  </w:r>
                  <w:r w:rsidRPr="00D81749">
                    <w:rPr>
                      <w:color w:val="000000"/>
                      <w:lang w:val="uk-UA"/>
                    </w:rPr>
                    <w:br/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lastRenderedPageBreak/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/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</w:p>
              </w:tc>
              <w:tc>
                <w:tcPr>
                  <w:tcW w:w="4100" w:type="pct"/>
                </w:tcPr>
                <w:p w14:paraId="3BF54A0B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lastRenderedPageBreak/>
                    <w:t>[водні організми (</w:t>
                  </w:r>
                  <w:proofErr w:type="spellStart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гідробіонти</w:t>
                  </w:r>
                  <w:proofErr w:type="spellEnd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) та їх частини, крім морських ссавців, у яких 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lastRenderedPageBreak/>
                    <w:t>не виявлено ознак захворювання інфекційними хворобами, що можуть передаватися людині або тварині, виловлені з метою розміщення на ринку]</w:t>
                  </w:r>
                  <w:r w:rsidRPr="00D81749">
                    <w:rPr>
                      <w:color w:val="000000"/>
                      <w:lang w:val="uk-UA"/>
                    </w:rPr>
                    <w:t xml:space="preserve"> / [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aquatic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parts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such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except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sea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mammals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which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did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not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show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signs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diseases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communicable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humans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caught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purpose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placing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market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];</w:t>
                  </w:r>
                </w:p>
              </w:tc>
            </w:tr>
            <w:tr w:rsidR="00B12CE3" w:rsidRPr="00D81749" w14:paraId="38510325" w14:textId="77777777" w:rsidTr="00EB172F">
              <w:tc>
                <w:tcPr>
                  <w:tcW w:w="350" w:type="pct"/>
                </w:tcPr>
                <w:p w14:paraId="75E63309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color w:val="000000"/>
                      <w:lang w:val="uk-UA"/>
                    </w:rPr>
                    <w:lastRenderedPageBreak/>
                    <w:t> </w:t>
                  </w:r>
                </w:p>
              </w:tc>
              <w:tc>
                <w:tcPr>
                  <w:tcW w:w="550" w:type="pct"/>
                </w:tcPr>
                <w:p w14:paraId="1B40CBA5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vertAlign w:val="superscript"/>
                      <w:lang w:val="uk-UA"/>
                    </w:rPr>
                    <w:t>(2)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та/або/</w:t>
                  </w:r>
                  <w:r w:rsidRPr="00D81749">
                    <w:rPr>
                      <w:color w:val="000000"/>
                      <w:lang w:val="uk-UA"/>
                    </w:rPr>
                    <w:br/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/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</w:p>
              </w:tc>
              <w:tc>
                <w:tcPr>
                  <w:tcW w:w="4100" w:type="pct"/>
                </w:tcPr>
                <w:p w14:paraId="1FD137A9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[побічні продукти тваринного походження з водних організмів (</w:t>
                  </w:r>
                  <w:proofErr w:type="spellStart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гідробіонтів</w:t>
                  </w:r>
                  <w:proofErr w:type="spellEnd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), виловлених з метою розміщення на ринку, які утворюються під час виробництва продукції для споживання людиною]</w:t>
                  </w:r>
                  <w:r w:rsidRPr="00D81749">
                    <w:rPr>
                      <w:color w:val="000000"/>
                      <w:lang w:val="uk-UA"/>
                    </w:rPr>
                    <w:t xml:space="preserve"> / [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by-products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from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aquatic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collected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marketing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purpose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that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were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obtained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during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human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consumption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].</w:t>
                  </w:r>
                </w:p>
              </w:tc>
            </w:tr>
            <w:tr w:rsidR="00B12CE3" w:rsidRPr="00D81749" w14:paraId="7016D066" w14:textId="77777777" w:rsidTr="00EB172F">
              <w:tc>
                <w:tcPr>
                  <w:tcW w:w="350" w:type="pct"/>
                </w:tcPr>
                <w:p w14:paraId="16F2777D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II.3</w:t>
                  </w:r>
                </w:p>
              </w:tc>
              <w:tc>
                <w:tcPr>
                  <w:tcW w:w="4650" w:type="pct"/>
                  <w:gridSpan w:val="2"/>
                </w:tcPr>
                <w:p w14:paraId="6EDEB01A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Риб'ячий жир підданий переробці з використанням методів переробки I - VII відповідно до додатка 2 до Вимог щодо ввезення (пересилання) на митну територію України харчових продуктів тваринного походження, кормів, сіна, соломи, а також побічних продуктів тваринного походження та продуктів їх оброблення, переробки, затверджених наказом Міністерства аграрної політики та продовольства України </w:t>
                  </w:r>
                  <w:r w:rsidR="00193855">
                    <w:rPr>
                      <w:b/>
                      <w:bCs/>
                      <w:color w:val="000000"/>
                      <w:lang w:val="uk-UA"/>
                    </w:rPr>
                    <w:t>№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 553 від 16 листопада 2018 року або будь-якого з методів переробки, що забезпечує відповідність кінцевого продукту таким мікробіологічним показникам: /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Fish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was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subjected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processing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method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I - VII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accordance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with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requirements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Annex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2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Requirements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introduction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(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sending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)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customs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territory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Ukraine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food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origin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feed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hay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straw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by-products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derived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adopted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Order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Ministry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Agrarian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Policy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Food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Ukraine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r w:rsidR="00193855">
                    <w:rPr>
                      <w:color w:val="000000"/>
                      <w:lang w:val="uk-UA"/>
                    </w:rPr>
                    <w:t>№</w:t>
                  </w:r>
                  <w:r w:rsidRPr="00D81749">
                    <w:rPr>
                      <w:color w:val="000000"/>
                      <w:lang w:val="uk-UA"/>
                    </w:rPr>
                    <w:t xml:space="preserve"> 553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16.11.2018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processing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method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ensuring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compliance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final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product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with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following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microbiological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criteria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:</w:t>
                  </w:r>
                </w:p>
              </w:tc>
            </w:tr>
            <w:tr w:rsidR="00B12CE3" w:rsidRPr="00D81749" w14:paraId="49FCD633" w14:textId="77777777" w:rsidTr="00EB172F">
              <w:tc>
                <w:tcPr>
                  <w:tcW w:w="350" w:type="pct"/>
                </w:tcPr>
                <w:p w14:paraId="3645DC1B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color w:val="000000"/>
                      <w:lang w:val="uk-UA"/>
                    </w:rPr>
                    <w:t> </w:t>
                  </w:r>
                </w:p>
              </w:tc>
              <w:tc>
                <w:tcPr>
                  <w:tcW w:w="550" w:type="pct"/>
                </w:tcPr>
                <w:p w14:paraId="3119C5CF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color w:val="000000"/>
                      <w:lang w:val="uk-UA"/>
                    </w:rPr>
                    <w:t> </w:t>
                  </w:r>
                </w:p>
              </w:tc>
              <w:tc>
                <w:tcPr>
                  <w:tcW w:w="4100" w:type="pct"/>
                </w:tcPr>
                <w:p w14:paraId="44C67369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сальмонела - відсутня в 25 г: n = 5, c = 0, m = 0, M = 0 / 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Salmonella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-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absence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25 g: n = 5, c = 0, m = 0, M = 0;</w:t>
                  </w:r>
                </w:p>
                <w:p w14:paraId="0C465B7D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proofErr w:type="spellStart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ентеробактерії</w:t>
                  </w:r>
                  <w:proofErr w:type="spellEnd"/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: n = 5, c = 2, m = 10, M = 300 в 1 г /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Enterobacteriaceae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: n = 5, </w:t>
                  </w:r>
                  <w:r w:rsidRPr="00D81749">
                    <w:rPr>
                      <w:color w:val="000000"/>
                      <w:lang w:val="uk-UA"/>
                    </w:rPr>
                    <w:br/>
                    <w:t xml:space="preserve">c = 2, m = 10, M = 300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1 g;</w:t>
                  </w:r>
                </w:p>
                <w:p w14:paraId="023083CF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де: /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where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:</w:t>
                  </w:r>
                </w:p>
                <w:p w14:paraId="1A3D54EC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n - кількість досліджуваних зразків / </w:t>
                  </w:r>
                  <w:r w:rsidRPr="00D81749">
                    <w:rPr>
                      <w:color w:val="000000"/>
                      <w:lang w:val="uk-UA"/>
                    </w:rPr>
                    <w:t xml:space="preserve">n -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samples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analysed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;</w:t>
                  </w:r>
                </w:p>
                <w:p w14:paraId="3DEFA878" w14:textId="77777777" w:rsidR="00B12CE3" w:rsidRPr="00D81749" w:rsidRDefault="00B12CE3">
                  <w:pPr>
                    <w:pStyle w:val="a3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m - показник граничної кількості бактерій (результат вважається задовільним, якщо кількість бактерій у всіх зразках не перевищує m) / </w:t>
                  </w:r>
                  <w:r w:rsidRPr="00D81749">
                    <w:rPr>
                      <w:color w:val="000000"/>
                      <w:lang w:val="uk-UA"/>
                    </w:rPr>
                    <w:t xml:space="preserve">m -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threshold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value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;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result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considered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satisfactory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does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not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exceed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m;</w:t>
                  </w:r>
                </w:p>
                <w:p w14:paraId="2E1EE00F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M - показник максимальної кількості бактерій (результат вважається незадовільним, якщо кількість бактерій в одному або декількох зразках дорівнює M або більше) / </w:t>
                  </w:r>
                  <w:r w:rsidRPr="00D81749">
                    <w:rPr>
                      <w:color w:val="000000"/>
                      <w:lang w:val="uk-UA"/>
                    </w:rPr>
                    <w:t xml:space="preserve">M -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maximum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value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;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result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considered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unsatisfactory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one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more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samples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M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more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;</w:t>
                  </w:r>
                </w:p>
                <w:p w14:paraId="71865878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c - число зразків, у яких кількість бактерій може бути між m і M (зразки вважаються прийнятними, якщо кількість бактерій в інших зразках не перевищує m) / </w:t>
                  </w:r>
                  <w:r w:rsidRPr="00D81749">
                    <w:rPr>
                      <w:color w:val="000000"/>
                      <w:lang w:val="uk-UA"/>
                    </w:rPr>
                    <w:t xml:space="preserve">c -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number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samples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count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which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may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between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m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M,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samples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still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considered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acceptable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bacterial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count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samples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m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less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B12CE3" w:rsidRPr="00D81749" w14:paraId="50F99E7E" w14:textId="77777777" w:rsidTr="00EB172F">
              <w:tc>
                <w:tcPr>
                  <w:tcW w:w="350" w:type="pct"/>
                </w:tcPr>
                <w:p w14:paraId="03B23DDE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II.4</w:t>
                  </w:r>
                </w:p>
              </w:tc>
              <w:tc>
                <w:tcPr>
                  <w:tcW w:w="4650" w:type="pct"/>
                  <w:gridSpan w:val="2"/>
                </w:tcPr>
                <w:p w14:paraId="67FC313B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Риб'ячий жир не контактував з іншими видами жирів, включаючи топлені жири, отримані з будь-яких видів наземних тварин/</w:t>
                  </w:r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Fish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was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not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contact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with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including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rendered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fats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from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species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terrestrial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animals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B12CE3" w:rsidRPr="00D81749" w14:paraId="3B941A28" w14:textId="77777777" w:rsidTr="00EB172F">
              <w:tc>
                <w:tcPr>
                  <w:tcW w:w="350" w:type="pct"/>
                </w:tcPr>
                <w:p w14:paraId="13421D7F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II.5</w:t>
                  </w:r>
                </w:p>
              </w:tc>
              <w:tc>
                <w:tcPr>
                  <w:tcW w:w="4650" w:type="pct"/>
                  <w:gridSpan w:val="2"/>
                </w:tcPr>
                <w:p w14:paraId="6A723CD1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 xml:space="preserve">Фасований риб'ячий жир запакований у нові контейнери або контейнери, які були очищені та продезінфіковані. Труба, помпи, цистерни та будь-які інші контейнери чи </w:t>
                  </w: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lastRenderedPageBreak/>
                    <w:t xml:space="preserve">автоцистерни, що використовуються для перевезення нефасованого риб'ячого жиру, мають бути проінспектовані державним ветеринарним інспектором країни-експортера / країни походження і за результатами зазначеного інспектування визнані чистими та придатними для використання /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Fish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packaged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new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containers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containers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that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have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been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cleaned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disinfected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.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Pipe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,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pumps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bulk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tanks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bulk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containers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bulk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road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tankers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used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bulk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transportation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fish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have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been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inspected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a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state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inspector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exporting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country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/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country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of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origin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found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to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clean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fit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use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based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the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inspection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results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  <w:tr w:rsidR="00B12CE3" w:rsidRPr="00D81749" w14:paraId="6A01FF7F" w14:textId="77777777" w:rsidTr="00EB172F">
              <w:tc>
                <w:tcPr>
                  <w:tcW w:w="350" w:type="pct"/>
                </w:tcPr>
                <w:p w14:paraId="3BBC5084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lastRenderedPageBreak/>
                    <w:t>II.6</w:t>
                  </w:r>
                </w:p>
              </w:tc>
              <w:tc>
                <w:tcPr>
                  <w:tcW w:w="4650" w:type="pct"/>
                  <w:gridSpan w:val="2"/>
                </w:tcPr>
                <w:p w14:paraId="4269A594" w14:textId="77777777" w:rsidR="00B12CE3" w:rsidRPr="00D81749" w:rsidRDefault="00B12CE3">
                  <w:pPr>
                    <w:pStyle w:val="a3"/>
                    <w:jc w:val="both"/>
                    <w:rPr>
                      <w:color w:val="000000"/>
                      <w:lang w:val="uk-UA"/>
                    </w:rPr>
                  </w:pPr>
                  <w:r w:rsidRPr="00D81749">
                    <w:rPr>
                      <w:b/>
                      <w:bCs/>
                      <w:color w:val="000000"/>
                      <w:lang w:val="uk-UA"/>
                    </w:rPr>
                    <w:t>Контейнери та/або інші ємності з риб'ячим жиром містять етикетку з написом "НЕ ДЛЯ СПОЖИВАННЯ ЛЮДИНОЮ"/</w:t>
                  </w:r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Containers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and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/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other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tankage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with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fish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oil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bear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a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label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with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 xml:space="preserve"> "NOT FOR HUMAN CONSUMPTION" </w:t>
                  </w:r>
                  <w:proofErr w:type="spellStart"/>
                  <w:r w:rsidRPr="00D81749">
                    <w:rPr>
                      <w:color w:val="000000"/>
                      <w:lang w:val="uk-UA"/>
                    </w:rPr>
                    <w:t>indication</w:t>
                  </w:r>
                  <w:proofErr w:type="spellEnd"/>
                  <w:r w:rsidRPr="00D81749">
                    <w:rPr>
                      <w:color w:val="000000"/>
                      <w:lang w:val="uk-UA"/>
                    </w:rPr>
                    <w:t>.</w:t>
                  </w:r>
                </w:p>
              </w:tc>
            </w:tr>
          </w:tbl>
          <w:p w14:paraId="69B39815" w14:textId="77777777" w:rsidR="00B12CE3" w:rsidRPr="00BA3B1F" w:rsidRDefault="00B12CE3">
            <w:pPr>
              <w:rPr>
                <w:color w:val="000000"/>
                <w:lang w:val="uk-UA"/>
              </w:rPr>
            </w:pPr>
          </w:p>
          <w:p w14:paraId="29DE3B84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color w:val="000000"/>
                <w:lang w:val="uk-UA"/>
              </w:rPr>
              <w:t> </w:t>
            </w:r>
          </w:p>
        </w:tc>
      </w:tr>
      <w:tr w:rsidR="00B12CE3" w:rsidRPr="00BA3B1F" w14:paraId="069C3369" w14:textId="77777777" w:rsidTr="00BA3B1F">
        <w:tc>
          <w:tcPr>
            <w:tcW w:w="5000" w:type="pct"/>
            <w:gridSpan w:val="2"/>
            <w:shd w:val="clear" w:color="auto" w:fill="auto"/>
          </w:tcPr>
          <w:p w14:paraId="41A40830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lastRenderedPageBreak/>
              <w:t>Примітки</w:t>
            </w:r>
            <w:r w:rsidRPr="00BA3B1F">
              <w:rPr>
                <w:color w:val="000000"/>
                <w:lang w:val="uk-UA"/>
              </w:rPr>
              <w:t>/</w:t>
            </w:r>
            <w:proofErr w:type="spellStart"/>
            <w:r w:rsidRPr="00BA3B1F">
              <w:rPr>
                <w:color w:val="000000"/>
                <w:lang w:val="uk-UA"/>
              </w:rPr>
              <w:t>Notes</w:t>
            </w:r>
            <w:proofErr w:type="spellEnd"/>
          </w:p>
          <w:p w14:paraId="4CDAFBE5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 xml:space="preserve">Вимоги цього міжнародного сертифіката застосовуються до риб'ячого жиру, призначеного для використання як кормовий матеріал або для використання за межами кормового ланцюга, що походять з країни чи її окремої території (зони або </w:t>
            </w:r>
            <w:proofErr w:type="spellStart"/>
            <w:r w:rsidRPr="00BA3B1F">
              <w:rPr>
                <w:b/>
                <w:bCs/>
                <w:color w:val="000000"/>
                <w:lang w:val="uk-UA"/>
              </w:rPr>
              <w:t>компартмента</w:t>
            </w:r>
            <w:proofErr w:type="spellEnd"/>
            <w:r w:rsidRPr="00BA3B1F">
              <w:rPr>
                <w:b/>
                <w:bCs/>
                <w:color w:val="000000"/>
                <w:lang w:val="uk-UA"/>
              </w:rPr>
              <w:t xml:space="preserve">) та з потужності, які </w:t>
            </w:r>
            <w:proofErr w:type="spellStart"/>
            <w:r w:rsidRPr="00BA3B1F">
              <w:rPr>
                <w:b/>
                <w:bCs/>
                <w:color w:val="000000"/>
                <w:lang w:val="uk-UA"/>
              </w:rPr>
              <w:t>внесено</w:t>
            </w:r>
            <w:proofErr w:type="spellEnd"/>
            <w:r w:rsidRPr="00BA3B1F">
              <w:rPr>
                <w:b/>
                <w:bCs/>
                <w:color w:val="000000"/>
                <w:lang w:val="uk-UA"/>
              </w:rPr>
              <w:t xml:space="preserve"> до реєстру країн та </w:t>
            </w:r>
            <w:proofErr w:type="spellStart"/>
            <w:r w:rsidRPr="00BA3B1F">
              <w:rPr>
                <w:b/>
                <w:bCs/>
                <w:color w:val="000000"/>
                <w:lang w:val="uk-UA"/>
              </w:rPr>
              <w:t>потужностей</w:t>
            </w:r>
            <w:proofErr w:type="spellEnd"/>
            <w:r w:rsidRPr="00BA3B1F">
              <w:rPr>
                <w:b/>
                <w:bCs/>
                <w:color w:val="000000"/>
                <w:lang w:val="uk-UA"/>
              </w:rPr>
              <w:t xml:space="preserve">, з яких дозволяється ввезення (пересилання) продуктів на митну територію України/ </w:t>
            </w:r>
            <w:proofErr w:type="spellStart"/>
            <w:r w:rsidRPr="00BA3B1F">
              <w:rPr>
                <w:color w:val="000000"/>
                <w:lang w:val="uk-UA"/>
              </w:rPr>
              <w:t>Requirements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this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International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Certificate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apply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to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fish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oil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intended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use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feed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material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purposes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outside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feed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chain</w:t>
            </w:r>
            <w:proofErr w:type="spellEnd"/>
            <w:r w:rsidRPr="00BA3B1F">
              <w:rPr>
                <w:color w:val="000000"/>
                <w:lang w:val="uk-UA"/>
              </w:rPr>
              <w:t xml:space="preserve">, </w:t>
            </w:r>
            <w:proofErr w:type="spellStart"/>
            <w:r w:rsidRPr="00BA3B1F">
              <w:rPr>
                <w:color w:val="000000"/>
                <w:lang w:val="uk-UA"/>
              </w:rPr>
              <w:t>originating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from</w:t>
            </w:r>
            <w:proofErr w:type="spellEnd"/>
            <w:r w:rsidRPr="00BA3B1F">
              <w:rPr>
                <w:color w:val="000000"/>
                <w:lang w:val="uk-UA"/>
              </w:rPr>
              <w:t xml:space="preserve"> a </w:t>
            </w:r>
            <w:proofErr w:type="spellStart"/>
            <w:r w:rsidRPr="00BA3B1F">
              <w:rPr>
                <w:color w:val="000000"/>
                <w:lang w:val="uk-UA"/>
              </w:rPr>
              <w:t>country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a </w:t>
            </w:r>
            <w:proofErr w:type="spellStart"/>
            <w:r w:rsidRPr="00BA3B1F">
              <w:rPr>
                <w:color w:val="000000"/>
                <w:lang w:val="uk-UA"/>
              </w:rPr>
              <w:t>separate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territory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zone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compartment</w:t>
            </w:r>
            <w:proofErr w:type="spellEnd"/>
            <w:r w:rsidRPr="00BA3B1F">
              <w:rPr>
                <w:color w:val="000000"/>
                <w:lang w:val="uk-UA"/>
              </w:rPr>
              <w:t xml:space="preserve">) </w:t>
            </w:r>
            <w:proofErr w:type="spellStart"/>
            <w:r w:rsidRPr="00BA3B1F">
              <w:rPr>
                <w:color w:val="000000"/>
                <w:lang w:val="uk-UA"/>
              </w:rPr>
              <w:t>thereof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from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establishment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listed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register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countries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establishments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authorised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importation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sending</w:t>
            </w:r>
            <w:proofErr w:type="spellEnd"/>
            <w:r w:rsidRPr="00BA3B1F">
              <w:rPr>
                <w:color w:val="000000"/>
                <w:lang w:val="uk-UA"/>
              </w:rPr>
              <w:t xml:space="preserve">)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products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to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customs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territory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Ukraine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07FE4D99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Частина I</w:t>
            </w:r>
            <w:r w:rsidRPr="00BA3B1F">
              <w:rPr>
                <w:color w:val="000000"/>
                <w:lang w:val="uk-UA"/>
              </w:rPr>
              <w:t>/</w:t>
            </w:r>
            <w:proofErr w:type="spellStart"/>
            <w:r w:rsidRPr="00BA3B1F">
              <w:rPr>
                <w:color w:val="000000"/>
                <w:lang w:val="uk-UA"/>
              </w:rPr>
              <w:t>Part</w:t>
            </w:r>
            <w:proofErr w:type="spellEnd"/>
            <w:r w:rsidRPr="00BA3B1F">
              <w:rPr>
                <w:color w:val="000000"/>
                <w:lang w:val="uk-UA"/>
              </w:rPr>
              <w:t xml:space="preserve"> I:</w:t>
            </w:r>
          </w:p>
          <w:p w14:paraId="41F38C0C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 xml:space="preserve">Пункт I.15: Вказати реєстраційний номер(и) залізничних вагонів або контейнерів та автомобілів, назви кораблів та номери рейсів літаків. Відправник зобов'язаний повідомити вхідний прикордонний інспекційний пост в Україні у разі розвантаження або перезавантаження / </w:t>
            </w:r>
            <w:proofErr w:type="spellStart"/>
            <w:r w:rsidRPr="00BA3B1F">
              <w:rPr>
                <w:color w:val="000000"/>
                <w:lang w:val="uk-UA"/>
              </w:rPr>
              <w:t>Box</w:t>
            </w:r>
            <w:proofErr w:type="spellEnd"/>
            <w:r w:rsidRPr="00BA3B1F">
              <w:rPr>
                <w:color w:val="000000"/>
                <w:lang w:val="uk-UA"/>
              </w:rPr>
              <w:t xml:space="preserve"> I.15: </w:t>
            </w:r>
            <w:proofErr w:type="spellStart"/>
            <w:r w:rsidRPr="00BA3B1F">
              <w:rPr>
                <w:color w:val="000000"/>
                <w:lang w:val="uk-UA"/>
              </w:rPr>
              <w:t>Indicate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registration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number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railway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wagons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container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road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vehicle</w:t>
            </w:r>
            <w:proofErr w:type="spellEnd"/>
            <w:r w:rsidRPr="00BA3B1F">
              <w:rPr>
                <w:color w:val="000000"/>
                <w:lang w:val="uk-UA"/>
              </w:rPr>
              <w:t xml:space="preserve">), </w:t>
            </w:r>
            <w:proofErr w:type="spellStart"/>
            <w:r w:rsidRPr="00BA3B1F">
              <w:rPr>
                <w:color w:val="000000"/>
                <w:lang w:val="uk-UA"/>
              </w:rPr>
              <w:t>flight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number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aircraft</w:t>
            </w:r>
            <w:proofErr w:type="spellEnd"/>
            <w:r w:rsidRPr="00BA3B1F">
              <w:rPr>
                <w:color w:val="000000"/>
                <w:lang w:val="uk-UA"/>
              </w:rPr>
              <w:t xml:space="preserve">)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name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ship</w:t>
            </w:r>
            <w:proofErr w:type="spellEnd"/>
            <w:r w:rsidRPr="00BA3B1F">
              <w:rPr>
                <w:color w:val="000000"/>
                <w:lang w:val="uk-UA"/>
              </w:rPr>
              <w:t xml:space="preserve">). </w:t>
            </w:r>
            <w:proofErr w:type="spellStart"/>
            <w:r w:rsidRPr="00BA3B1F">
              <w:rPr>
                <w:color w:val="000000"/>
                <w:lang w:val="uk-UA"/>
              </w:rPr>
              <w:t>In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event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unloading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reloading</w:t>
            </w:r>
            <w:proofErr w:type="spellEnd"/>
            <w:r w:rsidRPr="00BA3B1F">
              <w:rPr>
                <w:color w:val="000000"/>
                <w:lang w:val="uk-UA"/>
              </w:rPr>
              <w:t xml:space="preserve">, </w:t>
            </w:r>
            <w:proofErr w:type="spellStart"/>
            <w:r w:rsidRPr="00BA3B1F">
              <w:rPr>
                <w:color w:val="000000"/>
                <w:lang w:val="uk-UA"/>
              </w:rPr>
              <w:t>consignor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must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inform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entry</w:t>
            </w:r>
            <w:proofErr w:type="spellEnd"/>
            <w:r w:rsidRPr="00BA3B1F">
              <w:rPr>
                <w:color w:val="000000"/>
                <w:lang w:val="uk-UA"/>
              </w:rPr>
              <w:t xml:space="preserve"> BIP </w:t>
            </w:r>
            <w:proofErr w:type="spellStart"/>
            <w:r w:rsidRPr="00BA3B1F">
              <w:rPr>
                <w:color w:val="000000"/>
                <w:lang w:val="uk-UA"/>
              </w:rPr>
              <w:t>in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Ukraine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37507B4E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 xml:space="preserve">Пункт I.19: Вказати код вантажу (УКТЗЕД): 1504 або 1518 00 </w:t>
            </w:r>
            <w:r w:rsidRPr="00BA3B1F">
              <w:rPr>
                <w:color w:val="000000"/>
                <w:lang w:val="uk-UA"/>
              </w:rPr>
              <w:t xml:space="preserve">/ </w:t>
            </w:r>
            <w:proofErr w:type="spellStart"/>
            <w:r w:rsidRPr="00BA3B1F">
              <w:rPr>
                <w:color w:val="000000"/>
                <w:lang w:val="uk-UA"/>
              </w:rPr>
              <w:t>Box</w:t>
            </w:r>
            <w:proofErr w:type="spellEnd"/>
            <w:r w:rsidRPr="00BA3B1F">
              <w:rPr>
                <w:color w:val="000000"/>
                <w:lang w:val="uk-UA"/>
              </w:rPr>
              <w:t xml:space="preserve"> I.19: </w:t>
            </w:r>
            <w:proofErr w:type="spellStart"/>
            <w:r w:rsidRPr="00BA3B1F">
              <w:rPr>
                <w:color w:val="000000"/>
                <w:lang w:val="uk-UA"/>
              </w:rPr>
              <w:t>Indicate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commodity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code</w:t>
            </w:r>
            <w:proofErr w:type="spellEnd"/>
            <w:r w:rsidRPr="00BA3B1F">
              <w:rPr>
                <w:color w:val="000000"/>
                <w:lang w:val="uk-UA"/>
              </w:rPr>
              <w:t xml:space="preserve"> (HS </w:t>
            </w:r>
            <w:proofErr w:type="spellStart"/>
            <w:r w:rsidRPr="00BA3B1F">
              <w:rPr>
                <w:color w:val="000000"/>
                <w:lang w:val="uk-UA"/>
              </w:rPr>
              <w:t>code</w:t>
            </w:r>
            <w:proofErr w:type="spellEnd"/>
            <w:r w:rsidRPr="00BA3B1F">
              <w:rPr>
                <w:color w:val="000000"/>
                <w:lang w:val="uk-UA"/>
              </w:rPr>
              <w:t xml:space="preserve">): 1504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1518 00.</w:t>
            </w:r>
          </w:p>
          <w:p w14:paraId="25973C19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 xml:space="preserve">Пункт I.23: У разі контейнерів для насипних продуктів, зазначити номер контейнера та номер печатки (де це необхідно) </w:t>
            </w:r>
            <w:r w:rsidRPr="00BA3B1F">
              <w:rPr>
                <w:color w:val="000000"/>
                <w:lang w:val="uk-UA"/>
              </w:rPr>
              <w:t xml:space="preserve">/ </w:t>
            </w:r>
            <w:proofErr w:type="spellStart"/>
            <w:r w:rsidRPr="00BA3B1F">
              <w:rPr>
                <w:color w:val="000000"/>
                <w:lang w:val="uk-UA"/>
              </w:rPr>
              <w:t>Box</w:t>
            </w:r>
            <w:proofErr w:type="spellEnd"/>
            <w:r w:rsidRPr="00BA3B1F">
              <w:rPr>
                <w:color w:val="000000"/>
                <w:lang w:val="uk-UA"/>
              </w:rPr>
              <w:t xml:space="preserve"> I.23: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bulk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containers</w:t>
            </w:r>
            <w:proofErr w:type="spellEnd"/>
            <w:r w:rsidRPr="00BA3B1F">
              <w:rPr>
                <w:color w:val="000000"/>
                <w:lang w:val="uk-UA"/>
              </w:rPr>
              <w:t xml:space="preserve">,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container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number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seal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number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if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applicable</w:t>
            </w:r>
            <w:proofErr w:type="spellEnd"/>
            <w:r w:rsidRPr="00BA3B1F">
              <w:rPr>
                <w:color w:val="000000"/>
                <w:lang w:val="uk-UA"/>
              </w:rPr>
              <w:t xml:space="preserve">) </w:t>
            </w:r>
            <w:proofErr w:type="spellStart"/>
            <w:r w:rsidRPr="00BA3B1F">
              <w:rPr>
                <w:color w:val="000000"/>
                <w:lang w:val="uk-UA"/>
              </w:rPr>
              <w:t>should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be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given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35E95FFA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 xml:space="preserve">Пункт I.25: Технічне використання: будь-яке використання для цілей інших, ніж годування тварин / </w:t>
            </w:r>
            <w:proofErr w:type="spellStart"/>
            <w:r w:rsidRPr="00BA3B1F">
              <w:rPr>
                <w:color w:val="000000"/>
                <w:lang w:val="uk-UA"/>
              </w:rPr>
              <w:t>Box</w:t>
            </w:r>
            <w:proofErr w:type="spellEnd"/>
            <w:r w:rsidRPr="00BA3B1F">
              <w:rPr>
                <w:color w:val="000000"/>
                <w:lang w:val="uk-UA"/>
              </w:rPr>
              <w:t xml:space="preserve"> I.25:</w:t>
            </w:r>
            <w:r w:rsidRPr="00BA3B1F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Technical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use</w:t>
            </w:r>
            <w:proofErr w:type="spellEnd"/>
            <w:r w:rsidRPr="00BA3B1F">
              <w:rPr>
                <w:color w:val="000000"/>
                <w:lang w:val="uk-UA"/>
              </w:rPr>
              <w:t xml:space="preserve">: </w:t>
            </w:r>
            <w:proofErr w:type="spellStart"/>
            <w:r w:rsidRPr="00BA3B1F">
              <w:rPr>
                <w:color w:val="000000"/>
                <w:lang w:val="uk-UA"/>
              </w:rPr>
              <w:t>any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use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other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feeding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animals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5513CBF1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Частина II</w:t>
            </w:r>
            <w:r w:rsidRPr="00BA3B1F">
              <w:rPr>
                <w:color w:val="000000"/>
                <w:lang w:val="uk-UA"/>
              </w:rPr>
              <w:t xml:space="preserve">: / </w:t>
            </w:r>
            <w:proofErr w:type="spellStart"/>
            <w:r w:rsidRPr="00BA3B1F">
              <w:rPr>
                <w:color w:val="000000"/>
                <w:lang w:val="uk-UA"/>
              </w:rPr>
              <w:t>Part</w:t>
            </w:r>
            <w:proofErr w:type="spellEnd"/>
            <w:r w:rsidRPr="00BA3B1F">
              <w:rPr>
                <w:color w:val="000000"/>
                <w:lang w:val="uk-UA"/>
              </w:rPr>
              <w:t xml:space="preserve"> II:</w:t>
            </w:r>
          </w:p>
          <w:p w14:paraId="7383B962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vertAlign w:val="superscript"/>
                <w:lang w:val="uk-UA"/>
              </w:rPr>
              <w:t xml:space="preserve">(1) </w:t>
            </w:r>
            <w:r w:rsidRPr="00BA3B1F">
              <w:rPr>
                <w:b/>
                <w:bCs/>
                <w:color w:val="000000"/>
                <w:lang w:val="uk-UA"/>
              </w:rPr>
              <w:t>Риб'ячий жир, не призначений для споживання людиною, - жир, отриманий у результаті переробки водних тварин або риби, призначених для споживання людиною, які передбачено оператором ринку для цілей інших, ніж споживання людиною</w:t>
            </w:r>
            <w:r w:rsidRPr="00BA3B1F">
              <w:rPr>
                <w:color w:val="000000"/>
                <w:lang w:val="uk-UA"/>
              </w:rPr>
              <w:t xml:space="preserve"> / </w:t>
            </w:r>
            <w:proofErr w:type="spellStart"/>
            <w:r w:rsidRPr="00BA3B1F">
              <w:rPr>
                <w:color w:val="000000"/>
                <w:lang w:val="uk-UA"/>
              </w:rPr>
              <w:t>Fish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oil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not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intended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human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consumption</w:t>
            </w:r>
            <w:proofErr w:type="spellEnd"/>
            <w:r w:rsidRPr="00BA3B1F">
              <w:rPr>
                <w:color w:val="000000"/>
                <w:lang w:val="uk-UA"/>
              </w:rPr>
              <w:t xml:space="preserve"> - </w:t>
            </w:r>
            <w:proofErr w:type="spellStart"/>
            <w:r w:rsidRPr="00BA3B1F">
              <w:rPr>
                <w:color w:val="000000"/>
                <w:lang w:val="uk-UA"/>
              </w:rPr>
              <w:t>means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oil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derived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from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processing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aquatic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animals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oil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from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processing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fish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human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consumption</w:t>
            </w:r>
            <w:proofErr w:type="spellEnd"/>
            <w:r w:rsidRPr="00BA3B1F">
              <w:rPr>
                <w:color w:val="000000"/>
                <w:lang w:val="uk-UA"/>
              </w:rPr>
              <w:t xml:space="preserve">, </w:t>
            </w:r>
            <w:proofErr w:type="spellStart"/>
            <w:r w:rsidRPr="00BA3B1F">
              <w:rPr>
                <w:color w:val="000000"/>
                <w:lang w:val="uk-UA"/>
              </w:rPr>
              <w:t>which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operator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destined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for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purposes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other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human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consumption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1F6BE6D4" w14:textId="77777777" w:rsidR="00B12CE3" w:rsidRPr="00BA3B1F" w:rsidRDefault="00B12CE3" w:rsidP="00BA3B1F">
            <w:pPr>
              <w:pStyle w:val="a3"/>
              <w:jc w:val="both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vertAlign w:val="superscript"/>
                <w:lang w:val="uk-UA"/>
              </w:rPr>
              <w:lastRenderedPageBreak/>
              <w:t xml:space="preserve">(2) </w:t>
            </w:r>
            <w:r w:rsidRPr="00BA3B1F">
              <w:rPr>
                <w:b/>
                <w:bCs/>
                <w:color w:val="000000"/>
                <w:lang w:val="uk-UA"/>
              </w:rPr>
              <w:t>Вибрати потрібне</w:t>
            </w:r>
            <w:r w:rsidRPr="00BA3B1F">
              <w:rPr>
                <w:color w:val="000000"/>
                <w:lang w:val="uk-UA"/>
              </w:rPr>
              <w:t xml:space="preserve"> / </w:t>
            </w:r>
            <w:proofErr w:type="spellStart"/>
            <w:r w:rsidRPr="00BA3B1F">
              <w:rPr>
                <w:color w:val="000000"/>
                <w:lang w:val="uk-UA"/>
              </w:rPr>
              <w:t>Keep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appropriate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  <w:p w14:paraId="0983212B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vertAlign w:val="superscript"/>
                <w:lang w:val="uk-UA"/>
              </w:rPr>
              <w:t xml:space="preserve">(3) </w:t>
            </w:r>
            <w:r w:rsidRPr="00BA3B1F">
              <w:rPr>
                <w:b/>
                <w:bCs/>
                <w:color w:val="000000"/>
                <w:lang w:val="uk-UA"/>
              </w:rPr>
              <w:t>Колір підпису та печатки має відрізнятися від кольору іншого тексту</w:t>
            </w:r>
            <w:r w:rsidRPr="00BA3B1F">
              <w:rPr>
                <w:color w:val="000000"/>
                <w:lang w:val="uk-UA"/>
              </w:rPr>
              <w:t xml:space="preserve"> /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signature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seal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must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be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in</w:t>
            </w:r>
            <w:proofErr w:type="spellEnd"/>
            <w:r w:rsidRPr="00BA3B1F">
              <w:rPr>
                <w:color w:val="000000"/>
                <w:lang w:val="uk-UA"/>
              </w:rPr>
              <w:t xml:space="preserve"> a </w:t>
            </w:r>
            <w:proofErr w:type="spellStart"/>
            <w:r w:rsidRPr="00BA3B1F">
              <w:rPr>
                <w:color w:val="000000"/>
                <w:lang w:val="uk-UA"/>
              </w:rPr>
              <w:t>different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colour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that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of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the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text</w:t>
            </w:r>
            <w:proofErr w:type="spellEnd"/>
            <w:r w:rsidRPr="00BA3B1F">
              <w:rPr>
                <w:color w:val="000000"/>
                <w:lang w:val="uk-UA"/>
              </w:rPr>
              <w:t>.</w:t>
            </w:r>
          </w:p>
        </w:tc>
      </w:tr>
      <w:tr w:rsidR="00B12CE3" w:rsidRPr="00BA3B1F" w14:paraId="72CE58C1" w14:textId="77777777" w:rsidTr="00BA3B1F">
        <w:tc>
          <w:tcPr>
            <w:tcW w:w="2500" w:type="pct"/>
            <w:shd w:val="clear" w:color="auto" w:fill="auto"/>
          </w:tcPr>
          <w:p w14:paraId="316CECE1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lastRenderedPageBreak/>
              <w:t>Державний ветеринарний інспектор/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Official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veterinarian</w:t>
            </w:r>
            <w:proofErr w:type="spellEnd"/>
          </w:p>
          <w:p w14:paraId="3AC8543F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color w:val="000000"/>
                <w:lang w:val="uk-UA"/>
              </w:rPr>
              <w:t> </w:t>
            </w:r>
          </w:p>
          <w:p w14:paraId="3254CCEE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Прізвище (великими літерами)/</w:t>
            </w:r>
            <w:r w:rsidRPr="00BA3B1F">
              <w:rPr>
                <w:color w:val="000000"/>
                <w:lang w:val="uk-UA"/>
              </w:rPr>
              <w:t xml:space="preserve"> 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Name</w:t>
            </w:r>
            <w:proofErr w:type="spellEnd"/>
            <w:r w:rsidRPr="00BA3B1F">
              <w:rPr>
                <w:color w:val="000000"/>
                <w:lang w:val="uk-UA"/>
              </w:rPr>
              <w:t xml:space="preserve"> (</w:t>
            </w:r>
            <w:proofErr w:type="spellStart"/>
            <w:r w:rsidRPr="00BA3B1F">
              <w:rPr>
                <w:color w:val="000000"/>
                <w:lang w:val="uk-UA"/>
              </w:rPr>
              <w:t>in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capitals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letters</w:t>
            </w:r>
            <w:proofErr w:type="spellEnd"/>
            <w:r w:rsidRPr="00BA3B1F">
              <w:rPr>
                <w:color w:val="000000"/>
                <w:lang w:val="uk-UA"/>
              </w:rPr>
              <w:t>)</w:t>
            </w:r>
          </w:p>
          <w:p w14:paraId="7A468A58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color w:val="000000"/>
                <w:lang w:val="uk-UA"/>
              </w:rPr>
              <w:t> </w:t>
            </w:r>
          </w:p>
          <w:p w14:paraId="7F364189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Дата/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Date</w:t>
            </w:r>
            <w:proofErr w:type="spellEnd"/>
          </w:p>
          <w:p w14:paraId="5F7D1071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color w:val="000000"/>
                <w:lang w:val="uk-UA"/>
              </w:rPr>
              <w:t> </w:t>
            </w:r>
          </w:p>
          <w:p w14:paraId="5BEC99A3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Печатка</w:t>
            </w:r>
            <w:r w:rsidRPr="00BA3B1F">
              <w:rPr>
                <w:b/>
                <w:bCs/>
                <w:color w:val="000000"/>
                <w:vertAlign w:val="superscript"/>
                <w:lang w:val="uk-UA"/>
              </w:rPr>
              <w:t xml:space="preserve"> (3)</w:t>
            </w:r>
            <w:r w:rsidRPr="00BA3B1F">
              <w:rPr>
                <w:color w:val="000000"/>
                <w:lang w:val="uk-UA"/>
              </w:rPr>
              <w:t>/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Stamp</w:t>
            </w:r>
            <w:proofErr w:type="spellEnd"/>
            <w:r w:rsidRPr="00BA3B1F">
              <w:rPr>
                <w:color w:val="000000"/>
                <w:vertAlign w:val="superscript"/>
                <w:lang w:val="uk-UA"/>
              </w:rPr>
              <w:t xml:space="preserve"> (3)</w:t>
            </w:r>
          </w:p>
        </w:tc>
        <w:tc>
          <w:tcPr>
            <w:tcW w:w="2500" w:type="pct"/>
            <w:shd w:val="clear" w:color="auto" w:fill="auto"/>
          </w:tcPr>
          <w:p w14:paraId="1ECEF336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Кваліфікація та посада/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Qualification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and</w:t>
            </w:r>
            <w:proofErr w:type="spellEnd"/>
            <w:r w:rsidRPr="00BA3B1F">
              <w:rPr>
                <w:color w:val="000000"/>
                <w:lang w:val="uk-UA"/>
              </w:rPr>
              <w:t xml:space="preserve"> </w:t>
            </w:r>
            <w:proofErr w:type="spellStart"/>
            <w:r w:rsidRPr="00BA3B1F">
              <w:rPr>
                <w:color w:val="000000"/>
                <w:lang w:val="uk-UA"/>
              </w:rPr>
              <w:t>title</w:t>
            </w:r>
            <w:proofErr w:type="spellEnd"/>
          </w:p>
          <w:p w14:paraId="04550ECD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</w:t>
            </w:r>
          </w:p>
          <w:p w14:paraId="4E257A15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 </w:t>
            </w:r>
          </w:p>
          <w:p w14:paraId="0EC94688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</w:t>
            </w:r>
          </w:p>
          <w:p w14:paraId="5AA38D25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</w:t>
            </w:r>
          </w:p>
          <w:p w14:paraId="4F6AB80E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</w:t>
            </w:r>
          </w:p>
          <w:p w14:paraId="4C23D557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 </w:t>
            </w:r>
          </w:p>
          <w:p w14:paraId="15BC45CC" w14:textId="77777777" w:rsidR="00B12CE3" w:rsidRPr="00BA3B1F" w:rsidRDefault="00B12CE3">
            <w:pPr>
              <w:pStyle w:val="a3"/>
              <w:rPr>
                <w:color w:val="000000"/>
                <w:lang w:val="uk-UA"/>
              </w:rPr>
            </w:pPr>
            <w:r w:rsidRPr="00BA3B1F">
              <w:rPr>
                <w:b/>
                <w:bCs/>
                <w:color w:val="000000"/>
                <w:lang w:val="uk-UA"/>
              </w:rPr>
              <w:t>Підпис</w:t>
            </w:r>
            <w:r w:rsidRPr="00BA3B1F">
              <w:rPr>
                <w:b/>
                <w:bCs/>
                <w:color w:val="000000"/>
                <w:vertAlign w:val="superscript"/>
                <w:lang w:val="uk-UA"/>
              </w:rPr>
              <w:t xml:space="preserve"> (3)</w:t>
            </w:r>
            <w:r w:rsidRPr="00BA3B1F">
              <w:rPr>
                <w:color w:val="000000"/>
                <w:lang w:val="uk-UA"/>
              </w:rPr>
              <w:t>/</w:t>
            </w:r>
            <w:r w:rsidRPr="00BA3B1F">
              <w:rPr>
                <w:color w:val="000000"/>
                <w:lang w:val="uk-UA"/>
              </w:rPr>
              <w:br/>
            </w:r>
            <w:proofErr w:type="spellStart"/>
            <w:r w:rsidRPr="00BA3B1F">
              <w:rPr>
                <w:color w:val="000000"/>
                <w:lang w:val="uk-UA"/>
              </w:rPr>
              <w:t>Signature</w:t>
            </w:r>
            <w:proofErr w:type="spellEnd"/>
            <w:r w:rsidRPr="00BA3B1F">
              <w:rPr>
                <w:color w:val="000000"/>
                <w:vertAlign w:val="superscript"/>
                <w:lang w:val="uk-UA"/>
              </w:rPr>
              <w:t xml:space="preserve"> (3)</w:t>
            </w:r>
          </w:p>
        </w:tc>
      </w:tr>
    </w:tbl>
    <w:p w14:paraId="712FE669" w14:textId="77777777" w:rsidR="00B12CE3" w:rsidRPr="00D81749" w:rsidRDefault="00B12CE3">
      <w:pPr>
        <w:pStyle w:val="a3"/>
        <w:jc w:val="both"/>
        <w:rPr>
          <w:color w:val="00000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5211"/>
      </w:tblGrid>
      <w:tr w:rsidR="00B12CE3" w:rsidRPr="00D81749" w14:paraId="3BE1089F" w14:textId="77777777" w:rsidTr="00EB172F">
        <w:tc>
          <w:tcPr>
            <w:tcW w:w="2500" w:type="pct"/>
          </w:tcPr>
          <w:p w14:paraId="55A7458D" w14:textId="77777777" w:rsidR="00B12CE3" w:rsidRPr="00D81749" w:rsidRDefault="00B12CE3">
            <w:pPr>
              <w:pStyle w:val="a3"/>
              <w:jc w:val="center"/>
              <w:rPr>
                <w:color w:val="000000"/>
                <w:lang w:val="uk-UA"/>
              </w:rPr>
            </w:pPr>
            <w:r w:rsidRPr="00D81749">
              <w:rPr>
                <w:b/>
                <w:bCs/>
                <w:color w:val="000000"/>
                <w:lang w:val="uk-UA"/>
              </w:rPr>
              <w:t xml:space="preserve">Генеральний директор директорату </w:t>
            </w:r>
            <w:r w:rsidRPr="00D81749">
              <w:rPr>
                <w:color w:val="000000"/>
                <w:lang w:val="uk-UA"/>
              </w:rPr>
              <w:br/>
            </w:r>
            <w:r w:rsidRPr="00D81749">
              <w:rPr>
                <w:b/>
                <w:bCs/>
                <w:color w:val="000000"/>
                <w:lang w:val="uk-UA"/>
              </w:rPr>
              <w:t>безпечності харчових продуктів</w:t>
            </w:r>
          </w:p>
        </w:tc>
        <w:tc>
          <w:tcPr>
            <w:tcW w:w="2500" w:type="pct"/>
          </w:tcPr>
          <w:p w14:paraId="0D24125C" w14:textId="77777777" w:rsidR="00B12CE3" w:rsidRPr="00D81749" w:rsidRDefault="00EB172F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br/>
            </w:r>
            <w:r w:rsidR="00B12CE3" w:rsidRPr="00D81749">
              <w:rPr>
                <w:b/>
                <w:bCs/>
                <w:color w:val="000000"/>
                <w:lang w:val="uk-UA"/>
              </w:rPr>
              <w:t>М. Мороз</w:t>
            </w:r>
          </w:p>
        </w:tc>
      </w:tr>
    </w:tbl>
    <w:p w14:paraId="43149441" w14:textId="77777777" w:rsidR="00B12CE3" w:rsidRDefault="00B12CE3" w:rsidP="00DD1AD7">
      <w:pPr>
        <w:pStyle w:val="a3"/>
        <w:jc w:val="both"/>
        <w:rPr>
          <w:color w:val="000000"/>
          <w:lang w:val="uk-UA"/>
        </w:rPr>
      </w:pPr>
    </w:p>
    <w:sectPr w:rsidR="00B12CE3" w:rsidSect="00766F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CE3"/>
    <w:rsid w:val="00011A2B"/>
    <w:rsid w:val="00035A23"/>
    <w:rsid w:val="0005433F"/>
    <w:rsid w:val="00057007"/>
    <w:rsid w:val="00081E14"/>
    <w:rsid w:val="00084C46"/>
    <w:rsid w:val="000C3ACE"/>
    <w:rsid w:val="000C7900"/>
    <w:rsid w:val="00145F4E"/>
    <w:rsid w:val="0015675B"/>
    <w:rsid w:val="00171D34"/>
    <w:rsid w:val="00193855"/>
    <w:rsid w:val="00195061"/>
    <w:rsid w:val="001A0B58"/>
    <w:rsid w:val="001A0E88"/>
    <w:rsid w:val="001A1AFE"/>
    <w:rsid w:val="001A6BC3"/>
    <w:rsid w:val="001B4183"/>
    <w:rsid w:val="001D48E9"/>
    <w:rsid w:val="001E5147"/>
    <w:rsid w:val="001F0936"/>
    <w:rsid w:val="002013CC"/>
    <w:rsid w:val="0020436C"/>
    <w:rsid w:val="00217B7C"/>
    <w:rsid w:val="00257947"/>
    <w:rsid w:val="002856DA"/>
    <w:rsid w:val="00290A38"/>
    <w:rsid w:val="002C474F"/>
    <w:rsid w:val="0030216A"/>
    <w:rsid w:val="00304F93"/>
    <w:rsid w:val="0031016F"/>
    <w:rsid w:val="0031349F"/>
    <w:rsid w:val="003666A8"/>
    <w:rsid w:val="003907CE"/>
    <w:rsid w:val="00396235"/>
    <w:rsid w:val="003A697C"/>
    <w:rsid w:val="003D2910"/>
    <w:rsid w:val="003E20C4"/>
    <w:rsid w:val="00407B01"/>
    <w:rsid w:val="00414539"/>
    <w:rsid w:val="0042052C"/>
    <w:rsid w:val="004577BD"/>
    <w:rsid w:val="00476F22"/>
    <w:rsid w:val="004C6171"/>
    <w:rsid w:val="004E10A2"/>
    <w:rsid w:val="00501C5D"/>
    <w:rsid w:val="00547558"/>
    <w:rsid w:val="00576CDD"/>
    <w:rsid w:val="005A4BCE"/>
    <w:rsid w:val="005E4E12"/>
    <w:rsid w:val="00602ABC"/>
    <w:rsid w:val="00623BBA"/>
    <w:rsid w:val="0065094C"/>
    <w:rsid w:val="00656729"/>
    <w:rsid w:val="00662311"/>
    <w:rsid w:val="00675C00"/>
    <w:rsid w:val="00687FC5"/>
    <w:rsid w:val="0069081A"/>
    <w:rsid w:val="006A26C1"/>
    <w:rsid w:val="006C26A1"/>
    <w:rsid w:val="006D78B7"/>
    <w:rsid w:val="006E0014"/>
    <w:rsid w:val="006E3B9D"/>
    <w:rsid w:val="00721802"/>
    <w:rsid w:val="00750F0F"/>
    <w:rsid w:val="00753497"/>
    <w:rsid w:val="0075502C"/>
    <w:rsid w:val="00756332"/>
    <w:rsid w:val="00766F83"/>
    <w:rsid w:val="007811A4"/>
    <w:rsid w:val="00797423"/>
    <w:rsid w:val="007A0764"/>
    <w:rsid w:val="007D1F61"/>
    <w:rsid w:val="007D519A"/>
    <w:rsid w:val="007F5E94"/>
    <w:rsid w:val="008132ED"/>
    <w:rsid w:val="0082144F"/>
    <w:rsid w:val="00847413"/>
    <w:rsid w:val="00853A0F"/>
    <w:rsid w:val="0088105A"/>
    <w:rsid w:val="008B1A87"/>
    <w:rsid w:val="008B4D91"/>
    <w:rsid w:val="008B7901"/>
    <w:rsid w:val="00900469"/>
    <w:rsid w:val="00934E7F"/>
    <w:rsid w:val="00955598"/>
    <w:rsid w:val="009564C9"/>
    <w:rsid w:val="009651F9"/>
    <w:rsid w:val="00980C61"/>
    <w:rsid w:val="009B24C3"/>
    <w:rsid w:val="009B4153"/>
    <w:rsid w:val="00A0788D"/>
    <w:rsid w:val="00A22B5E"/>
    <w:rsid w:val="00A249F0"/>
    <w:rsid w:val="00A435F8"/>
    <w:rsid w:val="00A575FD"/>
    <w:rsid w:val="00A74B8E"/>
    <w:rsid w:val="00AD1B45"/>
    <w:rsid w:val="00AD1F4C"/>
    <w:rsid w:val="00AD50E4"/>
    <w:rsid w:val="00AE7DC1"/>
    <w:rsid w:val="00B01D62"/>
    <w:rsid w:val="00B05F4A"/>
    <w:rsid w:val="00B12CE3"/>
    <w:rsid w:val="00B2564E"/>
    <w:rsid w:val="00B67C9F"/>
    <w:rsid w:val="00B77E2A"/>
    <w:rsid w:val="00BA3B1F"/>
    <w:rsid w:val="00BB7401"/>
    <w:rsid w:val="00BB7DD9"/>
    <w:rsid w:val="00BC5774"/>
    <w:rsid w:val="00BD6781"/>
    <w:rsid w:val="00BD77D5"/>
    <w:rsid w:val="00C22BE8"/>
    <w:rsid w:val="00C34CFB"/>
    <w:rsid w:val="00C74CA6"/>
    <w:rsid w:val="00C74E6A"/>
    <w:rsid w:val="00C91585"/>
    <w:rsid w:val="00C95895"/>
    <w:rsid w:val="00CA4251"/>
    <w:rsid w:val="00CD4AF8"/>
    <w:rsid w:val="00CE1A14"/>
    <w:rsid w:val="00CE7B29"/>
    <w:rsid w:val="00D23132"/>
    <w:rsid w:val="00D44615"/>
    <w:rsid w:val="00D81749"/>
    <w:rsid w:val="00D82800"/>
    <w:rsid w:val="00DC6517"/>
    <w:rsid w:val="00DD1AD7"/>
    <w:rsid w:val="00DD730C"/>
    <w:rsid w:val="00DF163F"/>
    <w:rsid w:val="00E2453F"/>
    <w:rsid w:val="00E90247"/>
    <w:rsid w:val="00EB172F"/>
    <w:rsid w:val="00EC0A3B"/>
    <w:rsid w:val="00EC402A"/>
    <w:rsid w:val="00EE28FE"/>
    <w:rsid w:val="00EF1253"/>
    <w:rsid w:val="00EF18F9"/>
    <w:rsid w:val="00EF1B5D"/>
    <w:rsid w:val="00EF2882"/>
    <w:rsid w:val="00EF34D5"/>
    <w:rsid w:val="00F42858"/>
    <w:rsid w:val="00F53F47"/>
    <w:rsid w:val="00F70782"/>
    <w:rsid w:val="00F747BF"/>
    <w:rsid w:val="00F8078B"/>
    <w:rsid w:val="00F90AF6"/>
    <w:rsid w:val="00FA1473"/>
    <w:rsid w:val="00FB7FE7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4D3F6"/>
  <w15:chartTrackingRefBased/>
  <w15:docId w15:val="{24E806E2-8395-4AA0-AACB-DB272D5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table" w:styleId="a4">
    <w:name w:val="Table Grid"/>
    <w:basedOn w:val="a1"/>
    <w:rsid w:val="009B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[Без стиля]"/>
    <w:uiPriority w:val="99"/>
    <w:rsid w:val="00BD678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BD678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подпись (Ch_6 Міністерства)"/>
    <w:basedOn w:val="a"/>
    <w:next w:val="a"/>
    <w:uiPriority w:val="99"/>
    <w:rsid w:val="00BD6781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BD6781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1">
    <w:name w:val="Заголовок Додатка (Ch_6 Міністерства)"/>
    <w:basedOn w:val="a"/>
    <w:uiPriority w:val="99"/>
    <w:rsid w:val="00BD678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3">
    <w:name w:val="Простой подзаголовок (Ch_3 Кабмін)"/>
    <w:basedOn w:val="a"/>
    <w:next w:val="a"/>
    <w:uiPriority w:val="99"/>
    <w:rsid w:val="00BD678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D678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BIGTABL">
    <w:name w:val="table_BIG (TABL)"/>
    <w:basedOn w:val="a5"/>
    <w:uiPriority w:val="99"/>
    <w:rsid w:val="00BD6781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character" w:customStyle="1" w:styleId="superscript">
    <w:name w:val="superscript"/>
    <w:uiPriority w:val="99"/>
    <w:rsid w:val="00BD6781"/>
    <w:rPr>
      <w:w w:val="9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AvisFB/temp/Re34970_IMG_291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../../../AvisFB/temp/RE34970_IMG_196.GIF" TargetMode="External"/><Relationship Id="rId5" Type="http://schemas.openxmlformats.org/officeDocument/2006/relationships/image" Target="../../../AvisFB/temp/RE34970_IMG_193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../../../AvisFB/temp/Re34970_IMG_292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5527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Links>
    <vt:vector size="24" baseType="variant">
      <vt:variant>
        <vt:i4>69993540</vt:i4>
      </vt:variant>
      <vt:variant>
        <vt:i4>3568</vt:i4>
      </vt:variant>
      <vt:variant>
        <vt:i4>1213</vt:i4>
      </vt:variant>
      <vt:variant>
        <vt:i4>1</vt:i4>
      </vt:variant>
      <vt:variant>
        <vt:lpwstr>C:\1Работа\Robota\MINYUST\2020\07\57\RE34970_IMG_193.GIF</vt:lpwstr>
      </vt:variant>
      <vt:variant>
        <vt:lpwstr/>
      </vt:variant>
      <vt:variant>
        <vt:i4>70059076</vt:i4>
      </vt:variant>
      <vt:variant>
        <vt:i4>3722</vt:i4>
      </vt:variant>
      <vt:variant>
        <vt:i4>1214</vt:i4>
      </vt:variant>
      <vt:variant>
        <vt:i4>1</vt:i4>
      </vt:variant>
      <vt:variant>
        <vt:lpwstr>C:\1Работа\Robota\MINYUST\2020\07\57\Re34970_IMG_291.gif</vt:lpwstr>
      </vt:variant>
      <vt:variant>
        <vt:lpwstr/>
      </vt:variant>
      <vt:variant>
        <vt:i4>70124612</vt:i4>
      </vt:variant>
      <vt:variant>
        <vt:i4>3876</vt:i4>
      </vt:variant>
      <vt:variant>
        <vt:i4>1215</vt:i4>
      </vt:variant>
      <vt:variant>
        <vt:i4>1</vt:i4>
      </vt:variant>
      <vt:variant>
        <vt:lpwstr>C:\1Работа\Robota\MINYUST\2020\07\57\Re34970_IMG_292.gif</vt:lpwstr>
      </vt:variant>
      <vt:variant>
        <vt:lpwstr/>
      </vt:variant>
      <vt:variant>
        <vt:i4>69796932</vt:i4>
      </vt:variant>
      <vt:variant>
        <vt:i4>4030</vt:i4>
      </vt:variant>
      <vt:variant>
        <vt:i4>1216</vt:i4>
      </vt:variant>
      <vt:variant>
        <vt:i4>1</vt:i4>
      </vt:variant>
      <vt:variant>
        <vt:lpwstr>C:\1Работа\Robota\MINYUST\2020\07\57\RE34970_IMG_196.GIF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Krystyna Fedorchenko</cp:lastModifiedBy>
  <cp:revision>2</cp:revision>
  <dcterms:created xsi:type="dcterms:W3CDTF">2025-02-17T12:42:00Z</dcterms:created>
  <dcterms:modified xsi:type="dcterms:W3CDTF">2025-02-17T12:42:00Z</dcterms:modified>
</cp:coreProperties>
</file>