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D8" w:rsidRDefault="001634DD" w:rsidP="0016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4DD">
        <w:rPr>
          <w:rFonts w:ascii="Times New Roman" w:hAnsi="Times New Roman" w:cs="Times New Roman"/>
          <w:b/>
          <w:sz w:val="28"/>
          <w:szCs w:val="28"/>
        </w:rPr>
        <w:t>ДЕРЖАВНА СЛУЖБА УКРАЇНИ З ПИТАНЬ БЕЗПЕЧНОСТІ ХАРЧОВИХ ПРОДУКТІВ ТА ЗАХИСТУ СПОЖИВАЧІВ</w:t>
      </w:r>
    </w:p>
    <w:p w:rsidR="001634DD" w:rsidRDefault="001634DD" w:rsidP="001634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4DD">
        <w:rPr>
          <w:rFonts w:ascii="Times New Roman" w:hAnsi="Times New Roman" w:cs="Times New Roman"/>
          <w:i/>
          <w:sz w:val="28"/>
          <w:szCs w:val="28"/>
        </w:rPr>
        <w:t xml:space="preserve">оголошує конкурсний відбір на заміщення вакантної посади керівника державного </w:t>
      </w:r>
      <w:proofErr w:type="spellStart"/>
      <w:r w:rsidRPr="001634DD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Pr="001634DD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Pr="001634DD">
        <w:rPr>
          <w:rFonts w:ascii="Times New Roman" w:hAnsi="Times New Roman" w:cs="Times New Roman"/>
          <w:i/>
          <w:sz w:val="28"/>
          <w:szCs w:val="28"/>
        </w:rPr>
        <w:t>єкта</w:t>
      </w:r>
      <w:proofErr w:type="spellEnd"/>
      <w:r w:rsidRPr="001634DD">
        <w:rPr>
          <w:rFonts w:ascii="Times New Roman" w:hAnsi="Times New Roman" w:cs="Times New Roman"/>
          <w:i/>
          <w:sz w:val="28"/>
          <w:szCs w:val="28"/>
        </w:rPr>
        <w:t xml:space="preserve"> господарювання</w:t>
      </w:r>
    </w:p>
    <w:p w:rsidR="001634DD" w:rsidRDefault="001634DD" w:rsidP="0016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C4356">
        <w:rPr>
          <w:rFonts w:ascii="Times New Roman" w:hAnsi="Times New Roman" w:cs="Times New Roman"/>
          <w:sz w:val="28"/>
          <w:szCs w:val="28"/>
        </w:rPr>
        <w:t xml:space="preserve">09 </w:t>
      </w:r>
      <w:r w:rsidR="00C828F5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951"/>
        <w:gridCol w:w="6256"/>
      </w:tblGrid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підприємства</w:t>
            </w:r>
          </w:p>
        </w:tc>
        <w:tc>
          <w:tcPr>
            <w:tcW w:w="6256" w:type="dxa"/>
          </w:tcPr>
          <w:p w:rsidR="001634DD" w:rsidRDefault="007B6D09" w:rsidP="0016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підприємтсво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Держреєстри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України»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Місцезнаходження</w:t>
            </w:r>
          </w:p>
        </w:tc>
        <w:tc>
          <w:tcPr>
            <w:tcW w:w="6256" w:type="dxa"/>
          </w:tcPr>
          <w:p w:rsidR="001634DD" w:rsidRDefault="007B6D09" w:rsidP="0016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03190, 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Корчака, 9/12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напрями діяльності</w:t>
            </w:r>
          </w:p>
        </w:tc>
        <w:tc>
          <w:tcPr>
            <w:tcW w:w="6256" w:type="dxa"/>
          </w:tcPr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оброблення даних, розміщення інформації на веб-вузлах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2B0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ними діяльність;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 торгівля іншими товарами господарського призначення;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неспеціалізована оптова торгівля;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інших інформаційних послуг;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робіт по виготовленню та постачанню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2B0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єктами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ринку зерна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зерно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супроводженню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забезпечення;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</w:t>
            </w:r>
            <w:proofErr w:type="spellEnd"/>
            <w:r w:rsidRPr="002B0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створенням та функціонуванням автоматизованих баз даних зернових складів, єдиного реєстру для ведення автоматизованого обліку тракторів, та інших реєстрів, ведення яких законодавством віднесено до компетенції Уповноваженого органу;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телекомунікаційних мереж для ведення єдиних автоматизованих реєстрів складських документів на зерно, зерна прийнятого на зберігання;</w:t>
            </w:r>
          </w:p>
          <w:p w:rsidR="002B093D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розробка, впровадження, реалізація програмного забезпечення та технологій автоматизованої обробки даних, науково-технічної продукції, винаходів та патентів;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метрологічна експертиза документації;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документації, участь в атестації, та атестація вимірювальних лабораторій, переробних підприємств сільськогосподарської продукції усіх форм власності;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документації та участь в сертифікації систем якості, атестації виробництва, сертифікації ремонтної продукції;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довідково-інформаційне обслуговування про наявність галузевих стандартів і нормативних документів, їх придбання та реалізація на договірних умовах;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та виконання робіт, пов</w:t>
            </w:r>
            <w:r w:rsidRPr="00DF492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язана з забезпеченням єдності вимірювань і впровадження стандартів в галузі сільськогосподарського виробництва;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інформаційно-аналітичних, консультативних, посередницьких, рекламних, просвітницьких послуг, послуг з оформлення;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виробництво, переробка, закупівля, зберігання та реалізація сільськогосподарської продукції та продуктів її переробки, продукції тваринництва, рибальства, продуктів харчування;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зовнішньоекономічної діяльності згідно із законодавством України;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підвищення кваліфікації спеціалістів з питань ведення відповідних автоматизованих реєстрів;</w:t>
            </w:r>
          </w:p>
          <w:p w:rsidR="00DF492C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забезпечення необхідних умов для навчання  та підготовки фахівців у рамках семінарів, конференцій, тощо, підвищення їх професійної кваліфікації;</w:t>
            </w:r>
          </w:p>
          <w:p w:rsidR="005A368F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представницькі, агентські і посередницькі функції щодо українських та іноземних юридичних та фізичних осіб;</w:t>
            </w:r>
          </w:p>
          <w:p w:rsidR="005A368F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лізингових операцій, надання консалтингових послуг;</w:t>
            </w:r>
          </w:p>
          <w:p w:rsidR="005A368F" w:rsidRPr="00DF492C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видавнича діяльність, поліграфічне виробництво, копіювально-розмножувальні роботи, розповсюдження та реа</w:t>
            </w:r>
            <w:r w:rsidR="00933479">
              <w:rPr>
                <w:rFonts w:ascii="Times New Roman" w:hAnsi="Times New Roman" w:cs="Times New Roman"/>
                <w:sz w:val="28"/>
                <w:szCs w:val="28"/>
              </w:rPr>
              <w:t>лізація поліграфічної продукції.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і місце прийма</w:t>
            </w:r>
            <w:r w:rsidR="007B6D09">
              <w:rPr>
                <w:rFonts w:ascii="Times New Roman" w:hAnsi="Times New Roman" w:cs="Times New Roman"/>
                <w:b/>
                <w:sz w:val="28"/>
                <w:szCs w:val="28"/>
              </w:rPr>
              <w:t>ння доку</w:t>
            </w:r>
            <w:r w:rsidR="00A638E0">
              <w:rPr>
                <w:rFonts w:ascii="Times New Roman" w:hAnsi="Times New Roman" w:cs="Times New Roman"/>
                <w:b/>
                <w:sz w:val="28"/>
                <w:szCs w:val="28"/>
              </w:rPr>
              <w:t>ментів для участі у конкурсному відборі</w:t>
            </w:r>
          </w:p>
        </w:tc>
        <w:tc>
          <w:tcPr>
            <w:tcW w:w="6256" w:type="dxa"/>
          </w:tcPr>
          <w:p w:rsidR="001634DD" w:rsidRDefault="005A368F" w:rsidP="0016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приймаються </w:t>
            </w:r>
            <w:r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C3519" w:rsidRPr="00CC35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 квітня 2021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включно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18C" w:rsidRPr="00DB6CA1" w:rsidRDefault="005A368F" w:rsidP="005A3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</w:t>
            </w:r>
            <w:r w:rsidR="007705E9">
              <w:rPr>
                <w:rFonts w:ascii="Times New Roman" w:hAnsi="Times New Roman" w:cs="Times New Roman"/>
                <w:sz w:val="28"/>
                <w:szCs w:val="28"/>
              </w:rPr>
              <w:t>л. Б. Грінченка, буд.1,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на електронну адресу:</w:t>
            </w:r>
            <w:r w:rsidRPr="005A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a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krutij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@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dpss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gov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proofErr w:type="spellStart"/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ua</w:t>
              </w:r>
              <w:proofErr w:type="spellEnd"/>
            </w:hyperlink>
            <w:r w:rsidR="0004118C" w:rsidRPr="00DB6C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A368F" w:rsidRDefault="0004118C" w:rsidP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Додаткова інформація надається за </w:t>
            </w:r>
            <w:proofErr w:type="spellStart"/>
            <w:r w:rsidRPr="00DB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DB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            +38 (044) 278 84 35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2734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що подаються претендентом</w:t>
            </w:r>
            <w:r w:rsidR="00952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відповідно до</w:t>
            </w:r>
            <w:r w:rsidR="00273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постанови Кабінету Міні</w:t>
            </w:r>
            <w:r w:rsidR="00952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стрів України від </w:t>
            </w:r>
            <w:r w:rsidR="002734F9">
              <w:rPr>
                <w:rFonts w:ascii="Times New Roman" w:hAnsi="Times New Roman" w:cs="Times New Roman"/>
                <w:b/>
                <w:sz w:val="28"/>
                <w:szCs w:val="28"/>
              </w:rPr>
              <w:t>03 вересня 2008 року                        № 777 (із змінами)</w:t>
            </w:r>
          </w:p>
        </w:tc>
        <w:tc>
          <w:tcPr>
            <w:tcW w:w="6256" w:type="dxa"/>
          </w:tcPr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участі у конкурсному відборі претендент особисто подає та/або надсилає електронною поштою комісії разом із заявою такі документи: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належним чином завірені: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 документа, що посвідчує особу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 xml:space="preserve"> та підтверджує громадянство;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 трудової книжки або документі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в, що засвідчують досвід роботи</w:t>
            </w:r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Така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має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точний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роботи;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посад; обов</w:t>
            </w:r>
            <w:r w:rsidR="00586DEF" w:rsidRP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</w:rPr>
              <w:t xml:space="preserve">, які виконувалися на зазначених </w:t>
            </w:r>
            <w:r w:rsidR="00586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посадах; </w:t>
            </w:r>
            <w:r w:rsidR="00DB6CA1">
              <w:rPr>
                <w:rFonts w:ascii="Times New Roman" w:hAnsi="Times New Roman" w:cs="Times New Roman"/>
                <w:sz w:val="28"/>
                <w:szCs w:val="28"/>
              </w:rPr>
              <w:t>кількість працівників, що перебували у підпорядкуванні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34C" w:rsidRDefault="00267BEA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 документа про вищу освіту;</w:t>
            </w:r>
          </w:p>
          <w:p w:rsidR="00D9534C" w:rsidRDefault="00267BEA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біографічну довідку (резюме);</w:t>
            </w:r>
          </w:p>
          <w:p w:rsidR="00D9534C" w:rsidRDefault="00267BEA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конкурсну пропозицію;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згод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у на обробку персональних даних;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та інші документи на його розсуд.</w:t>
            </w:r>
          </w:p>
          <w:p w:rsidR="001634DD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 разі подання заяви та документів лише електронною поштою, учасник конкурсного відбору під час заслуховування</w:t>
            </w:r>
            <w:r w:rsidR="00A441F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конкурсних пропозицій додатково подає підписану заяву.</w:t>
            </w:r>
          </w:p>
        </w:tc>
      </w:tr>
      <w:tr w:rsidR="007B6D09" w:rsidTr="00A638E0">
        <w:tc>
          <w:tcPr>
            <w:tcW w:w="3951" w:type="dxa"/>
          </w:tcPr>
          <w:p w:rsidR="007B6D09" w:rsidRDefault="007B6D09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і місце проведення конкурсного відбору</w:t>
            </w:r>
          </w:p>
        </w:tc>
        <w:tc>
          <w:tcPr>
            <w:tcW w:w="6256" w:type="dxa"/>
          </w:tcPr>
          <w:p w:rsidR="007B6D09" w:rsidRDefault="00983B94" w:rsidP="00CC3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травня 2021 року, </w:t>
            </w:r>
            <w:r w:rsidR="00CC3519" w:rsidRPr="00983B9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DB6CA1" w:rsidRPr="00983B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41F0"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 w:rsidR="00CC3519"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441F0" w:rsidRPr="00CC3519">
              <w:rPr>
                <w:rFonts w:ascii="Times New Roman" w:hAnsi="Times New Roman" w:cs="Times New Roman"/>
                <w:sz w:val="28"/>
                <w:szCs w:val="28"/>
              </w:rPr>
              <w:t>вул. Б. Грінченка, буд.1</w:t>
            </w:r>
          </w:p>
        </w:tc>
      </w:tr>
      <w:tr w:rsidR="00A638E0" w:rsidTr="00A638E0">
        <w:tc>
          <w:tcPr>
            <w:tcW w:w="3951" w:type="dxa"/>
          </w:tcPr>
          <w:p w:rsidR="00A638E0" w:rsidRDefault="00A638E0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Оприлюднення результатів конкурсного відбору</w:t>
            </w:r>
          </w:p>
        </w:tc>
        <w:tc>
          <w:tcPr>
            <w:tcW w:w="6256" w:type="dxa"/>
          </w:tcPr>
          <w:p w:rsidR="00A638E0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результатів конкурсного відбору буде розміщено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вебпорталі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Держпродспоживслужби не пізніше трьох днів з дати його завершення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обов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язки</w:t>
            </w:r>
            <w:proofErr w:type="spellEnd"/>
          </w:p>
        </w:tc>
        <w:tc>
          <w:tcPr>
            <w:tcW w:w="6256" w:type="dxa"/>
          </w:tcPr>
          <w:p w:rsidR="001634DD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Загальне керівництво підприємством для досягнення запланованих результатів;</w:t>
            </w:r>
          </w:p>
          <w:p w:rsidR="00A441F0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ефективне керівництво фінансами підприємства для забезпечення його прибуткової діяльності;</w:t>
            </w:r>
          </w:p>
          <w:p w:rsidR="00A441F0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довгострокових, середньострокових</w:t>
            </w:r>
            <w:r w:rsidR="00352B63">
              <w:rPr>
                <w:rFonts w:ascii="Times New Roman" w:hAnsi="Times New Roman" w:cs="Times New Roman"/>
                <w:sz w:val="28"/>
                <w:szCs w:val="28"/>
              </w:rPr>
              <w:t xml:space="preserve"> та короткострокових планів діяльності підприємства та їх впроваджен</w:t>
            </w:r>
            <w:r w:rsidR="002D71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B63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співпраця та налагодження партнерської взаємодії з органами державної влади, місцевого самоврядування та приватним бізнесом;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ефективних систем обліку та звітності для отримання достовірних результатів діяльності;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ефективне керування ризиками;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взаємодія з фінансовими для забезпечення ліквідності підприємства;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підприємства перед державними органами, інвестиційними та фінансовими організаціями, професійними спілками, професійними та бізнес асоціаціями, засобами масової інформації, тощо;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сучасних систем управління персоналом.</w:t>
            </w:r>
          </w:p>
        </w:tc>
      </w:tr>
      <w:tr w:rsidR="001634DD" w:rsidTr="00A638E0">
        <w:tc>
          <w:tcPr>
            <w:tcW w:w="10207" w:type="dxa"/>
            <w:gridSpan w:val="2"/>
          </w:tcPr>
          <w:p w:rsidR="001634DD" w:rsidRPr="001634DD" w:rsidRDefault="001634DD" w:rsidP="0046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претендентів для участі в конкурсному відборі керівника Державне підприємство «</w:t>
            </w:r>
            <w:proofErr w:type="spellStart"/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>Держреєстри</w:t>
            </w:r>
            <w:proofErr w:type="spellEnd"/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України»</w:t>
            </w:r>
            <w:r w:rsidR="00201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256" w:type="dxa"/>
          </w:tcPr>
          <w:p w:rsidR="001634DD" w:rsidRPr="00352B63" w:rsidRDefault="00C118D1" w:rsidP="0077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B63" w:rsidRPr="00352B63">
              <w:rPr>
                <w:rFonts w:ascii="Times New Roman" w:hAnsi="Times New Roman" w:cs="Times New Roman"/>
                <w:sz w:val="28"/>
                <w:szCs w:val="28"/>
              </w:rPr>
              <w:t xml:space="preserve">ища освіта </w:t>
            </w:r>
            <w:r w:rsidR="00352B63" w:rsidRPr="00352B6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 освітнім ступенем не нижче магістра</w:t>
            </w:r>
            <w:r w:rsidR="00773DB6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5E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</w:t>
            </w:r>
            <w:r w:rsidR="00634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інансово-економічного та/або                  ІТ-</w:t>
            </w:r>
            <w:r w:rsidR="007705E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спрямування.</w:t>
            </w:r>
          </w:p>
        </w:tc>
      </w:tr>
      <w:tr w:rsidR="001634DD" w:rsidTr="00A638E0">
        <w:tc>
          <w:tcPr>
            <w:tcW w:w="3951" w:type="dxa"/>
          </w:tcPr>
          <w:p w:rsidR="001634DD" w:rsidRDefault="001634DD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Досвід роботи</w:t>
            </w:r>
          </w:p>
        </w:tc>
        <w:tc>
          <w:tcPr>
            <w:tcW w:w="6256" w:type="dxa"/>
          </w:tcPr>
          <w:p w:rsidR="001634DD" w:rsidRPr="00352B63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2B63" w:rsidRPr="00352B63">
              <w:rPr>
                <w:rFonts w:ascii="Times New Roman" w:hAnsi="Times New Roman" w:cs="Times New Roman"/>
                <w:sz w:val="28"/>
                <w:szCs w:val="28"/>
              </w:rPr>
              <w:t xml:space="preserve">освід роботи на керівних посадах підприємств, установ та організацій незалежно від форми власності, або в органах державної влади, органах місцевого самоврядування не менше </w:t>
            </w:r>
            <w:r w:rsidR="00352B63" w:rsidRPr="00201A45">
              <w:rPr>
                <w:rFonts w:ascii="Times New Roman" w:hAnsi="Times New Roman" w:cs="Times New Roman"/>
                <w:sz w:val="28"/>
                <w:szCs w:val="28"/>
              </w:rPr>
              <w:t>двох років</w:t>
            </w:r>
            <w:r w:rsidR="00201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4DD" w:rsidTr="00A638E0">
        <w:tc>
          <w:tcPr>
            <w:tcW w:w="3951" w:type="dxa"/>
          </w:tcPr>
          <w:p w:rsidR="001634DD" w:rsidRDefault="001634DD" w:rsidP="007B6D09">
            <w:pPr>
              <w:pStyle w:val="a4"/>
              <w:numPr>
                <w:ilvl w:val="0"/>
                <w:numId w:val="1"/>
              </w:numPr>
              <w:ind w:left="731" w:right="-247" w:hanging="3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Володіння   державною </w:t>
            </w:r>
            <w:r w:rsidR="007B6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256" w:type="dxa"/>
          </w:tcPr>
          <w:p w:rsidR="001634DD" w:rsidRPr="00352B63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52B63" w:rsidRPr="0035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ільне володіння державною мовою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 знання</w:t>
            </w:r>
          </w:p>
        </w:tc>
        <w:tc>
          <w:tcPr>
            <w:tcW w:w="6256" w:type="dxa"/>
          </w:tcPr>
          <w:p w:rsidR="001634DD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Розуміння загальних принципів забезпечення ефективного функціонування та розвитку підприємства є обов</w:t>
            </w:r>
            <w:r w:rsidRPr="00C11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 корпоративного управління, бюджетування та стратегічного планування;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оптимізації фінансово-господарської діяльності;</w:t>
            </w:r>
          </w:p>
          <w:p w:rsidR="00D414B0" w:rsidRDefault="00D414B0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управління проектами;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перспективи та тенденції розвитку підприємства;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проведення переговорів з державними органами та представниками приватного сектору економіки;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економіки, менеджменту, маркетингу, етикету, ділового спілкування та ведення переговорів;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 з фінансовими установами, зовнішніми інвесторами або запозиченнями буде перевагою;</w:t>
            </w:r>
          </w:p>
          <w:p w:rsidR="00C118D1" w:rsidRP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переговорів з регулюючими органами та/або контрагентами та/або інвесторами з ЄС буде перевагою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7B6D09">
            <w:pPr>
              <w:pStyle w:val="a4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 кваліфікаційні вимоги</w:t>
            </w:r>
          </w:p>
        </w:tc>
        <w:tc>
          <w:tcPr>
            <w:tcW w:w="6256" w:type="dxa"/>
          </w:tcPr>
          <w:p w:rsidR="001634DD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лідерських якостей, стратегічне бачення, здатність управляти змінами;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приймати ефективні управлінські рішення;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вирішувати комплексні завдання в умовах обмеженого часу;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вміння працювати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багатозадачності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встановлення цілей, пріоритетів та орієнтирів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 якості</w:t>
            </w:r>
          </w:p>
        </w:tc>
        <w:tc>
          <w:tcPr>
            <w:tcW w:w="6256" w:type="dxa"/>
          </w:tcPr>
          <w:p w:rsidR="001634DD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Дисциплінованість, системність, дипломатичність, гнучкість, комунікабельність, самоорганізація та орієнтація на розвиток,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креативність, вміння працювати в стресових ситуаціях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465D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конкурсної пропозиції</w:t>
            </w:r>
            <w:r w:rsidR="00952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відповідно до</w:t>
            </w:r>
            <w:r w:rsidR="00465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постанови Кабінету Міністрів України від 03 вересня 2008 року            № 777 (із змінами)</w:t>
            </w:r>
          </w:p>
        </w:tc>
        <w:tc>
          <w:tcPr>
            <w:tcW w:w="6256" w:type="dxa"/>
          </w:tcPr>
          <w:p w:rsidR="001634D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 пропозиція повинна містити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стратегічного плану розвитку підприємства на середньострокову перспективу, в якому передбачаються: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ий першочерговий план реформування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 протягом одного року;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заходи з виконання за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вдань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 аналізу можливих ризиків,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 xml:space="preserve"> а також заходи з поліпшення техніко-економічних та фінансових показників підприємства, підвищення його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конкурентноспроможності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68D" w:rsidRDefault="00267BEA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відрахування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 xml:space="preserve"> коштів до бюджетів;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пропозиції щодо залучення інвестицій для розвитку підприємства;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пропозиції щодо очікуваної динаміки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 xml:space="preserve"> поліпшення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основних показників фінансово-господарської діяльності</w:t>
            </w:r>
            <w:r w:rsidR="002230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010" w:rsidRDefault="00223010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пропозиції з удосконалення діяльності підприємства.</w:t>
            </w:r>
          </w:p>
        </w:tc>
      </w:tr>
    </w:tbl>
    <w:p w:rsidR="001634DD" w:rsidRDefault="001634DD" w:rsidP="001634DD">
      <w:pPr>
        <w:rPr>
          <w:rFonts w:ascii="Times New Roman" w:hAnsi="Times New Roman" w:cs="Times New Roman"/>
          <w:sz w:val="28"/>
          <w:szCs w:val="28"/>
        </w:rPr>
      </w:pPr>
    </w:p>
    <w:p w:rsidR="0090268D" w:rsidRPr="00933479" w:rsidRDefault="0090268D" w:rsidP="00902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D327FC">
        <w:rPr>
          <w:rFonts w:ascii="Times New Roman" w:hAnsi="Times New Roman" w:cs="Times New Roman"/>
          <w:sz w:val="28"/>
          <w:szCs w:val="28"/>
        </w:rPr>
        <w:t>нформація про фінансов</w:t>
      </w:r>
      <w:r w:rsidR="008E3DC0">
        <w:rPr>
          <w:rFonts w:ascii="Times New Roman" w:hAnsi="Times New Roman" w:cs="Times New Roman"/>
          <w:sz w:val="28"/>
          <w:szCs w:val="28"/>
        </w:rPr>
        <w:t>о-економічний стан підприємства</w:t>
      </w:r>
      <w:r w:rsidR="00D42C50">
        <w:rPr>
          <w:rFonts w:ascii="Times New Roman" w:hAnsi="Times New Roman" w:cs="Times New Roman"/>
          <w:sz w:val="28"/>
          <w:szCs w:val="28"/>
        </w:rPr>
        <w:t xml:space="preserve"> </w:t>
      </w:r>
      <w:r w:rsidR="008E3DC0">
        <w:rPr>
          <w:rFonts w:ascii="Times New Roman" w:hAnsi="Times New Roman" w:cs="Times New Roman"/>
          <w:sz w:val="28"/>
          <w:szCs w:val="28"/>
        </w:rPr>
        <w:t>розміщена</w:t>
      </w:r>
      <w:r w:rsidR="00933479">
        <w:rPr>
          <w:rFonts w:ascii="Times New Roman" w:hAnsi="Times New Roman" w:cs="Times New Roman"/>
          <w:sz w:val="28"/>
          <w:szCs w:val="28"/>
        </w:rPr>
        <w:t xml:space="preserve"> за посиланням </w:t>
      </w:r>
      <w:hyperlink r:id="rId9" w:history="1"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dpss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diyalnist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rezultatidiyalnostisubyektivgospodaryuvannya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/2020</w:t>
        </w:r>
      </w:hyperlink>
      <w:r w:rsidR="00465DA6">
        <w:rPr>
          <w:rFonts w:ascii="Times New Roman" w:hAnsi="Times New Roman" w:cs="Times New Roman"/>
          <w:sz w:val="28"/>
          <w:szCs w:val="28"/>
        </w:rPr>
        <w:t>.</w:t>
      </w:r>
      <w:r w:rsidR="00933479" w:rsidRPr="009334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68D" w:rsidRPr="00933479" w:rsidSect="00A441F0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2A" w:rsidRDefault="00F54C2A" w:rsidP="00A441F0">
      <w:pPr>
        <w:spacing w:after="0" w:line="240" w:lineRule="auto"/>
      </w:pPr>
      <w:r>
        <w:separator/>
      </w:r>
    </w:p>
  </w:endnote>
  <w:endnote w:type="continuationSeparator" w:id="0">
    <w:p w:rsidR="00F54C2A" w:rsidRDefault="00F54C2A" w:rsidP="00A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2A" w:rsidRDefault="00F54C2A" w:rsidP="00A441F0">
      <w:pPr>
        <w:spacing w:after="0" w:line="240" w:lineRule="auto"/>
      </w:pPr>
      <w:r>
        <w:separator/>
      </w:r>
    </w:p>
  </w:footnote>
  <w:footnote w:type="continuationSeparator" w:id="0">
    <w:p w:rsidR="00F54C2A" w:rsidRDefault="00F54C2A" w:rsidP="00A4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67687"/>
      <w:docPartObj>
        <w:docPartGallery w:val="Page Numbers (Top of Page)"/>
        <w:docPartUnique/>
      </w:docPartObj>
    </w:sdtPr>
    <w:sdtEndPr/>
    <w:sdtContent>
      <w:p w:rsidR="00A441F0" w:rsidRDefault="00A44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9C" w:rsidRPr="00DB769C">
          <w:rPr>
            <w:noProof/>
            <w:lang w:val="ru-RU"/>
          </w:rPr>
          <w:t>5</w:t>
        </w:r>
        <w:r>
          <w:fldChar w:fldCharType="end"/>
        </w:r>
      </w:p>
    </w:sdtContent>
  </w:sdt>
  <w:p w:rsidR="00A441F0" w:rsidRDefault="00A44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5B1A"/>
    <w:multiLevelType w:val="hybridMultilevel"/>
    <w:tmpl w:val="09A8C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8"/>
    <w:rsid w:val="0004118C"/>
    <w:rsid w:val="000D7B79"/>
    <w:rsid w:val="0013351C"/>
    <w:rsid w:val="00146E5E"/>
    <w:rsid w:val="001634DD"/>
    <w:rsid w:val="00201A45"/>
    <w:rsid w:val="00223010"/>
    <w:rsid w:val="00255BFD"/>
    <w:rsid w:val="00267BEA"/>
    <w:rsid w:val="002734F9"/>
    <w:rsid w:val="002B093D"/>
    <w:rsid w:val="002C4356"/>
    <w:rsid w:val="002D7160"/>
    <w:rsid w:val="003257AF"/>
    <w:rsid w:val="00352B63"/>
    <w:rsid w:val="00436272"/>
    <w:rsid w:val="00465DA6"/>
    <w:rsid w:val="00543A54"/>
    <w:rsid w:val="005526BD"/>
    <w:rsid w:val="00586DEF"/>
    <w:rsid w:val="005A368F"/>
    <w:rsid w:val="00634568"/>
    <w:rsid w:val="00644FD8"/>
    <w:rsid w:val="006F6E55"/>
    <w:rsid w:val="007705E9"/>
    <w:rsid w:val="00773DB6"/>
    <w:rsid w:val="007B6D09"/>
    <w:rsid w:val="008E3DC0"/>
    <w:rsid w:val="0090268D"/>
    <w:rsid w:val="00923A4F"/>
    <w:rsid w:val="00933479"/>
    <w:rsid w:val="0095214F"/>
    <w:rsid w:val="00983B94"/>
    <w:rsid w:val="00A3302E"/>
    <w:rsid w:val="00A441F0"/>
    <w:rsid w:val="00A638E0"/>
    <w:rsid w:val="00BE2CC6"/>
    <w:rsid w:val="00C118D1"/>
    <w:rsid w:val="00C24F48"/>
    <w:rsid w:val="00C828F5"/>
    <w:rsid w:val="00CC3519"/>
    <w:rsid w:val="00D327FC"/>
    <w:rsid w:val="00D414B0"/>
    <w:rsid w:val="00D42C50"/>
    <w:rsid w:val="00D9534C"/>
    <w:rsid w:val="00DB6A80"/>
    <w:rsid w:val="00DB6CA1"/>
    <w:rsid w:val="00DB769C"/>
    <w:rsid w:val="00DF492C"/>
    <w:rsid w:val="00F54C2A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158A-A8D2-4581-9B13-C826BC8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118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4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1F0"/>
  </w:style>
  <w:style w:type="paragraph" w:styleId="a8">
    <w:name w:val="footer"/>
    <w:basedOn w:val="a"/>
    <w:link w:val="a9"/>
    <w:uiPriority w:val="99"/>
    <w:unhideWhenUsed/>
    <w:rsid w:val="00A44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1F0"/>
  </w:style>
  <w:style w:type="character" w:customStyle="1" w:styleId="rvts0">
    <w:name w:val="rvts0"/>
    <w:basedOn w:val="a0"/>
    <w:rsid w:val="00352B63"/>
  </w:style>
  <w:style w:type="paragraph" w:styleId="aa">
    <w:name w:val="Balloon Text"/>
    <w:basedOn w:val="a"/>
    <w:link w:val="ab"/>
    <w:uiPriority w:val="99"/>
    <w:semiHidden/>
    <w:unhideWhenUsed/>
    <w:rsid w:val="00C8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utij@dps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ss.gov.ua/diyalnist/rezultatidiyalnostisubyektivgospodaryuvannya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2143-42FF-4562-A64E-49740931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30</cp:revision>
  <cp:lastPrinted>2021-04-08T08:52:00Z</cp:lastPrinted>
  <dcterms:created xsi:type="dcterms:W3CDTF">2021-03-24T13:17:00Z</dcterms:created>
  <dcterms:modified xsi:type="dcterms:W3CDTF">2021-04-09T07:25:00Z</dcterms:modified>
</cp:coreProperties>
</file>